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ADC" w:rsidRPr="00477FB2" w:rsidRDefault="004D6ADC" w:rsidP="004D6ADC">
      <w:pPr>
        <w:pageBreakBefore/>
        <w:spacing w:line="200" w:lineRule="atLeast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Załącznik Nr 7 </w:t>
      </w:r>
      <w:r w:rsidRPr="00477FB2">
        <w:rPr>
          <w:rFonts w:ascii="Arial" w:hAnsi="Arial" w:cs="Arial"/>
          <w:sz w:val="22"/>
          <w:szCs w:val="22"/>
        </w:rPr>
        <w:t>do SIWZ</w:t>
      </w:r>
    </w:p>
    <w:p w:rsidR="004D6ADC" w:rsidRDefault="004D6ADC" w:rsidP="004D6ADC">
      <w:pPr>
        <w:spacing w:line="200" w:lineRule="atLeas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.......................................................</w:t>
      </w:r>
    </w:p>
    <w:p w:rsidR="004D6ADC" w:rsidRDefault="004D6ADC" w:rsidP="004D6ADC">
      <w:pPr>
        <w:spacing w:line="200" w:lineRule="atLeas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Pieczęć Wykonawcy</w:t>
      </w:r>
    </w:p>
    <w:p w:rsidR="004D6ADC" w:rsidRDefault="004D6ADC" w:rsidP="004D6ADC">
      <w:pPr>
        <w:spacing w:line="200" w:lineRule="atLeast"/>
        <w:rPr>
          <w:rFonts w:ascii="Arial" w:hAnsi="Arial"/>
          <w:sz w:val="22"/>
          <w:szCs w:val="22"/>
          <w:u w:val="single"/>
        </w:rPr>
      </w:pPr>
    </w:p>
    <w:p w:rsidR="004D6ADC" w:rsidRDefault="004D6ADC" w:rsidP="004D6ADC">
      <w:pPr>
        <w:shd w:val="clear" w:color="auto" w:fill="FFFFFF"/>
        <w:spacing w:line="200" w:lineRule="atLeast"/>
        <w:ind w:left="14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SPECYFIKACJA TECHNICZNA URZĄDZENIA</w:t>
      </w:r>
    </w:p>
    <w:p w:rsidR="004D6ADC" w:rsidRDefault="004D6ADC" w:rsidP="004D6ADC">
      <w:pPr>
        <w:shd w:val="clear" w:color="auto" w:fill="FFFFFF"/>
        <w:spacing w:line="200" w:lineRule="atLeast"/>
        <w:ind w:left="14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4F0890" w:rsidRPr="004F0890" w:rsidRDefault="004F0890" w:rsidP="004F0890">
      <w:pPr>
        <w:pStyle w:val="Nagwek3"/>
        <w:jc w:val="center"/>
        <w:rPr>
          <w:rFonts w:ascii="Arial" w:hAnsi="Arial" w:cs="Arial"/>
          <w:sz w:val="22"/>
          <w:szCs w:val="22"/>
          <w:u w:val="single"/>
        </w:rPr>
      </w:pPr>
      <w:r w:rsidRPr="004F0890">
        <w:rPr>
          <w:rFonts w:ascii="Arial" w:hAnsi="Arial" w:cs="Arial"/>
          <w:sz w:val="22"/>
          <w:szCs w:val="22"/>
          <w:u w:val="single"/>
        </w:rPr>
        <w:t>CZĘŚĆ 2</w:t>
      </w:r>
    </w:p>
    <w:p w:rsidR="004F0890" w:rsidRPr="00477FB2" w:rsidRDefault="004F0890" w:rsidP="004F0890">
      <w:pPr>
        <w:pStyle w:val="Nagwek3"/>
        <w:jc w:val="left"/>
        <w:rPr>
          <w:rFonts w:ascii="Arial" w:hAnsi="Arial" w:cs="Arial"/>
          <w:sz w:val="22"/>
          <w:szCs w:val="22"/>
        </w:rPr>
      </w:pPr>
      <w:r w:rsidRPr="00477FB2">
        <w:rPr>
          <w:rFonts w:ascii="Arial" w:hAnsi="Arial" w:cs="Arial"/>
          <w:sz w:val="22"/>
          <w:szCs w:val="22"/>
        </w:rPr>
        <w:t xml:space="preserve">Serwery jako klaster </w:t>
      </w:r>
      <w:proofErr w:type="spellStart"/>
      <w:r w:rsidRPr="00477FB2">
        <w:rPr>
          <w:rFonts w:ascii="Arial" w:hAnsi="Arial" w:cs="Arial"/>
          <w:sz w:val="22"/>
          <w:szCs w:val="22"/>
        </w:rPr>
        <w:t>host’ów</w:t>
      </w:r>
      <w:proofErr w:type="spellEnd"/>
      <w:r w:rsidRPr="00477FB2">
        <w:rPr>
          <w:rFonts w:ascii="Arial" w:hAnsi="Arial" w:cs="Arial"/>
          <w:sz w:val="22"/>
          <w:szCs w:val="22"/>
        </w:rPr>
        <w:t xml:space="preserve"> dla systemu wirtualnego – 3 szt.</w:t>
      </w:r>
    </w:p>
    <w:p w:rsidR="004F0890" w:rsidRDefault="004F0890" w:rsidP="004F0890">
      <w:pPr>
        <w:jc w:val="both"/>
        <w:rPr>
          <w:rFonts w:ascii="Arial" w:eastAsia="Segoe UI" w:hAnsi="Arial" w:cs="Arial"/>
          <w:b/>
          <w:bCs/>
          <w:sz w:val="22"/>
          <w:szCs w:val="22"/>
        </w:rPr>
      </w:pPr>
    </w:p>
    <w:p w:rsidR="004F0890" w:rsidRPr="00477FB2" w:rsidRDefault="004F0890" w:rsidP="004F0890">
      <w:pPr>
        <w:jc w:val="both"/>
        <w:rPr>
          <w:rFonts w:ascii="Arial" w:hAnsi="Arial" w:cs="Arial"/>
          <w:sz w:val="22"/>
          <w:szCs w:val="22"/>
        </w:rPr>
      </w:pPr>
      <w:r w:rsidRPr="00477FB2">
        <w:rPr>
          <w:rFonts w:ascii="Arial" w:eastAsia="Segoe UI" w:hAnsi="Arial" w:cs="Arial"/>
          <w:b/>
          <w:bCs/>
          <w:sz w:val="22"/>
          <w:szCs w:val="22"/>
        </w:rPr>
        <w:t>......................................................................................</w:t>
      </w:r>
    </w:p>
    <w:p w:rsidR="004F0890" w:rsidRDefault="004F0890" w:rsidP="004F0890">
      <w:pPr>
        <w:shd w:val="clear" w:color="auto" w:fill="FFFFFF"/>
        <w:tabs>
          <w:tab w:val="left" w:leader="dot" w:pos="3542"/>
        </w:tabs>
        <w:spacing w:before="14" w:line="200" w:lineRule="atLeast"/>
        <w:jc w:val="both"/>
        <w:rPr>
          <w:rFonts w:ascii="Arial" w:eastAsia="Segoe UI" w:hAnsi="Arial" w:cs="Arial"/>
          <w:sz w:val="18"/>
          <w:szCs w:val="18"/>
        </w:rPr>
      </w:pPr>
      <w:r w:rsidRPr="00477FB2">
        <w:rPr>
          <w:rFonts w:ascii="Arial" w:eastAsia="Segoe UI" w:hAnsi="Arial" w:cs="Arial"/>
          <w:sz w:val="18"/>
          <w:szCs w:val="18"/>
        </w:rPr>
        <w:t>nazwa producenta, model i symbol oferowanego sprzętu</w:t>
      </w:r>
    </w:p>
    <w:p w:rsidR="004D6ADC" w:rsidRDefault="004D6ADC" w:rsidP="004D6ADC">
      <w:pPr>
        <w:shd w:val="clear" w:color="auto" w:fill="FFFFFF"/>
        <w:spacing w:line="200" w:lineRule="atLeast"/>
        <w:ind w:left="14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tbl>
      <w:tblPr>
        <w:tblW w:w="96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01"/>
        <w:gridCol w:w="4150"/>
        <w:gridCol w:w="1267"/>
        <w:gridCol w:w="2545"/>
      </w:tblGrid>
      <w:tr w:rsidR="004D6ADC" w:rsidTr="004F0890"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D6ADC" w:rsidRDefault="004D6ADC" w:rsidP="004F0890">
            <w:pPr>
              <w:pStyle w:val="Zawartotabeli"/>
              <w:snapToGrid w:val="0"/>
              <w:spacing w:line="200" w:lineRule="atLeast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WYMAGANIA</w:t>
            </w:r>
          </w:p>
        </w:tc>
        <w:tc>
          <w:tcPr>
            <w:tcW w:w="41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D6ADC" w:rsidRDefault="004D6ADC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MINIMALNE</w:t>
            </w:r>
          </w:p>
        </w:tc>
        <w:tc>
          <w:tcPr>
            <w:tcW w:w="1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D6ADC" w:rsidRDefault="004D6ADC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CZY W/W URZĄDZENIE SPEŁNIA WYMAGANIA TAK/NIE</w:t>
            </w:r>
          </w:p>
        </w:tc>
        <w:tc>
          <w:tcPr>
            <w:tcW w:w="2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D6ADC" w:rsidRDefault="004D6ADC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OFEROWANE</w:t>
            </w: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Obudowa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Obudowa typu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Rack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o wysokości maksymalnej 2U, wraz kompletem szyn umożliwiających montaż w standardowej szafie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Rack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wysuwanie serwera do celów serwisowych.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Płyta główna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Z możliwością instalacji minimum dwóch fizycznych procesorów, posiadająca minimum 12 slotów na pamięci z możliwością zainstalowania do minimum 384GB pamięci RAM, możliwe zabezpieczenia pamięci: ECC, SDDC, Memory Mirroring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Rank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Sparing. Płyta główna zaprojektowana przez producenta serwera i oznaczona trwale jego znakiem firmowym.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Procesor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Dwa procesory min. ośmiordzeniowe dedykow</w:t>
            </w:r>
            <w:r w:rsidRPr="00477FB2">
              <w:rPr>
                <w:rFonts w:ascii="Arial" w:hAnsi="Arial" w:cs="Arial"/>
                <w:sz w:val="20"/>
                <w:szCs w:val="20"/>
              </w:rPr>
              <w:t xml:space="preserve">ane do pracy z zaoferowanym serwerem umożliwiające </w:t>
            </w:r>
            <w:r w:rsidRPr="00477FB2">
              <w:rPr>
                <w:rFonts w:ascii="Arial" w:hAnsi="Arial" w:cs="Arial"/>
                <w:bCs/>
                <w:color w:val="000000"/>
                <w:sz w:val="20"/>
              </w:rPr>
              <w:t xml:space="preserve">osiągnięcie w teście </w:t>
            </w:r>
            <w:proofErr w:type="spellStart"/>
            <w:r w:rsidRPr="00477FB2">
              <w:rPr>
                <w:rFonts w:ascii="Arial" w:hAnsi="Arial" w:cs="Arial"/>
                <w:bCs/>
                <w:color w:val="000000"/>
                <w:sz w:val="20"/>
              </w:rPr>
              <w:t>PassMark</w:t>
            </w:r>
            <w:proofErr w:type="spellEnd"/>
            <w:r w:rsidRPr="00477FB2">
              <w:rPr>
                <w:rFonts w:ascii="Arial" w:hAnsi="Arial" w:cs="Arial"/>
                <w:bCs/>
                <w:color w:val="000000"/>
                <w:sz w:val="20"/>
              </w:rPr>
              <w:t xml:space="preserve"> CPU Mark wynik min. 12826 punktów na dzień 14.09.2015r. (wyniki ze strony </w:t>
            </w:r>
            <w:hyperlink r:id="rId8" w:history="1">
              <w:r w:rsidRPr="00477FB2">
                <w:rPr>
                  <w:rStyle w:val="Hipercze"/>
                  <w:rFonts w:ascii="Arial" w:hAnsi="Arial" w:cs="Arial"/>
                  <w:bCs/>
                </w:rPr>
                <w:t>http://www.cpubenchmark.net/cpu_list.php</w:t>
              </w:r>
            </w:hyperlink>
            <w:r w:rsidRPr="00477FB2">
              <w:rPr>
                <w:rFonts w:ascii="Arial" w:hAnsi="Arial" w:cs="Arial"/>
                <w:bCs/>
                <w:color w:val="000000"/>
                <w:sz w:val="20"/>
              </w:rPr>
              <w:t xml:space="preserve"> z danego dnia dostępne są u Zamawiającego)</w:t>
            </w:r>
            <w:r w:rsidRPr="00477FB2">
              <w:rPr>
                <w:rFonts w:ascii="Arial" w:hAnsi="Arial" w:cs="Arial"/>
                <w:sz w:val="20"/>
                <w:szCs w:val="20"/>
              </w:rPr>
              <w:t xml:space="preserve"> każdy.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Zamawiający zastrzega sobie, iż w celu sprawdzenia poprawności przeprowadzenia testu może zażądać od wyłonionego Wykonawcy dostarczenia oprogramowania testującego, komputera do testu oraz dokładnego opisu metodyki przeprowadzonego testu wraz z wynikami w celu ich sprawdzenia w terminie nie dłuższym niż 10 dni od otrzymania zawiadomienia od Zamawiającego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Minimum 64 GB pamięci RAM o częstotliwości taktowania minimum 2133MHz z zabezpieczeniem obsługiwanym przez płytę główną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Sloty</w:t>
            </w:r>
            <w:proofErr w:type="spellEnd"/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PCI Express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Min. 2 wolne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sloty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PCIExpress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generacji 3.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Wbudowane porty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Minimum 4 porty USB z czego min. 2 w technologii 3.0 (porty nie mogą zostać osiągnięte poprzez stosowanie dodatkowych adapterów, przejściówek oraz kart rozszerzeń) 1x RS-232, 1x VGA D-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Sub</w:t>
            </w:r>
            <w:proofErr w:type="spellEnd"/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Zintegrowana karta graficzna, umożliwiająca wyświetlanie obrazu w rozdzielczości minimum 1280x1024 pikseli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Interfejsy sieciowe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Minimum 2 porty 10Gb Ethernet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BaseT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oraz 4 porty 1GbE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BaseT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.  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Kontroler pamięci masowej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Sprzętowy kontroler dyskowy, umożliwiający obsługę dysków z prędkościami transferu 3, 6, 12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Gb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/s;  umożliwiający skonfigurowanie na wewnętrznej pamięci dyskowej zabezpieczeń RAID: 0, 1, 5, 6, 10, 50, 60, wyposażony w wbudowaną, nieulotną pamięć cache o pojemności min. 1GB.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Wewnętrzna pamięć masowa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Minimum 5 wolnych kieszeni z możliwością instalacji w wewnętrznej pamięci masowej dysków typu Hot Plug 7.2k RPM, możliwość instalacji dysków twardych typu: SATA,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NearLine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SAS, SAS, SSD dostępnych w ofercie producenta serwera.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Zamawiający nie wymaga dysków twardych. 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Zainstalowana wewnętrzna pamięć masowa typu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flash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lub SSD, dedykowana dla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hypervisora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wirtualizacyjnego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o łącznej pojemności min. 16GB, umożliwiająca konfigurację zabezpieczenia typu "mirror" lub RAID 1 z poziomu BIOS serwera, rozwiązanie nie może powodować zmniejszenia wymaganej minimalnej ilości wewnętrznej pamięci masowej w serwerze.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Napęd optyczny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Zainstalowany wewnętrzny napęd umożliwiający odczyt i zapis nośników DVD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Diagnostyka I bezpieczeństwo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Fabryczne oznaczenie urządzenia, wykonane  przez producenta serwera informujące Zamawiającego m.in. o numerze serwisowym serwera, pełnej nazwie podmiotu Zamawiającego, modelu serwera; gwarantujące Zamawiającemu dostawę nowego, nieużywanego i nie  pochodzącego z innych projektów sprzętu.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- zintegrowany z płytą główną moduł TPM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wbudowany czujnik otwarcia obudowy współpracujący z BIOS i kartą zarządzającą.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Chłodzenie I zasilanie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Minimum 4 redundantne wentylatory pracujące w trybie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Fault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Tolerant.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Dwa redundantne zasilacze Hot Plug o mocy minimum 750 Wat każdy wraz z kablami zasilającymi.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Zarządzanie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Niezależna od zainstalowanego systemu operacyjnego, zintegrowana z płytą główną posiadająca port RJ45 lub jako dodatkowa 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karta rozszerzeń (Zamawiający dopuszcza zastosowanie karty instalowanej w slocie PCI Express  jednak nie może ona powodować zmniejszenia minimalnej ilości wymaganych slotów w serwerze),  posiadająca minimalną funkcjonalność :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- komunikacja poprzez dedykowany interfejs RJ45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- podstawowe zarządzanie serwerem poprzez protokół IPMI 2.0, SNMP, VLAN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tagging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wbudowana diagnostyka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wbudowane narzędzia do instalacji systemów operacyjnych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dostęp poprzez interfejs graficzny Web karty oraz z linii poleceń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monitorowanie zasilania oraz zużycia energii przez serwer w czasie rzeczywistym z możliwością graficznej prezentacji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lokalna oraz zdalna konfiguracja serwera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zdalna instalacja systemów operacyjnych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wsparcie dla IPv4 i IPv6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zapis zrzutu ekranu z ostatniej awarii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integracja z Active Directory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wirtualna konsola z dostępem do myszy i klawiatury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udostępnianie wirtualnej konsoli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autentykacja poprzez publiczny klucz (dla SSH)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możliwość obsługi poprzez dwóch administratorów równocześnie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>- wysyłanie do administratora powiadomienia o awarii lub zmianie konfiguracji sprzętowej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Możliwość rozbudowy funkcjonalności karty o automatyczne przywracanie ustawień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serwera,kart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sieciowych, BIOS, wersji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firmware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w przypadku awarii i wymiany któregoś z komponentów  dedykowanej pamięci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flash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(w tym kontrolera RAID, kart sieciowych, płyty głównej). Jako rozwiązanie równoważne Zamawiający dopuszcza oprogramowanie umożliwiające przywracanie ustawień fabrycznych serwera, kart sieciowych, BIOS, wersji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firmware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w przypadku awarii i wymiany któregoś z komponentów (w tym kontrolera RAID, kart sieciowych, płyty głównej) zapisanych na wewnętrznej pamięci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flash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lub dyskach twardych serwera.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Certyfikaty</w:t>
            </w:r>
          </w:p>
        </w:tc>
        <w:tc>
          <w:tcPr>
            <w:tcW w:w="41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9968E5">
            <w:pPr>
              <w:pStyle w:val="Akapitzlist"/>
              <w:numPr>
                <w:ilvl w:val="0"/>
                <w:numId w:val="46"/>
              </w:numPr>
              <w:suppressAutoHyphens w:val="0"/>
              <w:ind w:left="51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Raport z testu wydajności</w:t>
            </w:r>
            <w:r w:rsidRPr="00477F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PassMark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dostępny na stronie </w:t>
            </w:r>
            <w:hyperlink r:id="rId9" w:history="1">
              <w:r w:rsidRPr="00477FB2">
                <w:rPr>
                  <w:rFonts w:ascii="Arial" w:hAnsi="Arial" w:cs="Arial"/>
                  <w:sz w:val="20"/>
                  <w:szCs w:val="20"/>
                </w:rPr>
                <w:t>http://www.cpubenchmark.net/cpu_list.php</w:t>
              </w:r>
            </w:hyperlink>
            <w:r w:rsidRPr="00477FB2">
              <w:rPr>
                <w:rFonts w:ascii="Arial" w:hAnsi="Arial" w:cs="Arial"/>
                <w:sz w:val="20"/>
                <w:szCs w:val="20"/>
              </w:rPr>
              <w:t xml:space="preserve"> potwierdzający osiągniecie przez oferowany procesor wartość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Average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CPU Mark minimum 12826 punktów (kolumna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Passmark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CP Mark) każdy. Dopuszcza się wydruk lub „zrzut ekranu” ze strony internetowej </w:t>
            </w:r>
            <w:hyperlink r:id="rId10" w:history="1">
              <w:r w:rsidRPr="00477FB2">
                <w:rPr>
                  <w:rStyle w:val="Hipercze"/>
                  <w:rFonts w:ascii="Arial" w:hAnsi="Arial" w:cs="Arial"/>
                  <w:bCs/>
                </w:rPr>
                <w:t>http://www.cpubenchmark.net/cpu_list.php</w:t>
              </w:r>
            </w:hyperlink>
            <w:r w:rsidRPr="00477FB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F0890" w:rsidRPr="00477FB2" w:rsidRDefault="004F0890" w:rsidP="009968E5">
            <w:pPr>
              <w:pStyle w:val="Akapitzlist"/>
              <w:numPr>
                <w:ilvl w:val="0"/>
                <w:numId w:val="46"/>
              </w:numPr>
              <w:suppressAutoHyphens w:val="0"/>
              <w:ind w:left="51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Serwer musi być wyprodukowany zgodnie z normą  ISO-9001 oraz ISO-14001</w:t>
            </w:r>
          </w:p>
          <w:p w:rsidR="004F0890" w:rsidRPr="00477FB2" w:rsidRDefault="004F0890" w:rsidP="009968E5">
            <w:pPr>
              <w:pStyle w:val="Akapitzlist"/>
              <w:numPr>
                <w:ilvl w:val="0"/>
                <w:numId w:val="46"/>
              </w:numPr>
              <w:suppressAutoHyphens w:val="0"/>
              <w:ind w:left="51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Serwer musi posiadać deklarację CE </w:t>
            </w:r>
          </w:p>
          <w:p w:rsidR="004F0890" w:rsidRPr="00477FB2" w:rsidRDefault="004F0890" w:rsidP="009968E5">
            <w:pPr>
              <w:pStyle w:val="Akapitzlist"/>
              <w:numPr>
                <w:ilvl w:val="0"/>
                <w:numId w:val="46"/>
              </w:numPr>
              <w:suppressAutoHyphens w:val="0"/>
              <w:ind w:left="51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Oferowany serwer musi znajdować się na liście Windows Server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Catalog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i posiadać status „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Certified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for Windows” dla systemów Microsoft Windows Server 2008 R2, Microsoft Windows Server 2012, Microsoft Windows Server 2012 R2.</w:t>
            </w:r>
          </w:p>
          <w:p w:rsidR="004F0890" w:rsidRPr="00477FB2" w:rsidRDefault="004F0890" w:rsidP="009968E5">
            <w:pPr>
              <w:pStyle w:val="Akapitzlist"/>
              <w:numPr>
                <w:ilvl w:val="0"/>
                <w:numId w:val="46"/>
              </w:numPr>
              <w:suppressAutoHyphens w:val="0"/>
              <w:ind w:left="51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Zgodność z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wirtualizatorami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Citrix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, Vmware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vSphere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, Microsoft Hyper-V.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Zgodność z systemami SUSE Linux Enterprise Server,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RedHat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Enterprise Linux,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Citrix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XenServer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VMware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vSphere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4F0890" w:rsidRPr="00477FB2" w:rsidRDefault="004F0890" w:rsidP="009968E5">
            <w:pPr>
              <w:pStyle w:val="Akapitzlist"/>
              <w:numPr>
                <w:ilvl w:val="0"/>
                <w:numId w:val="46"/>
              </w:numPr>
              <w:suppressAutoHyphens w:val="0"/>
              <w:ind w:left="510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Karta katalogowa urządzenia.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color w:val="000000"/>
                <w:sz w:val="20"/>
                <w:szCs w:val="20"/>
              </w:rPr>
              <w:t>Dokumenty należy załączyć do oferty.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4F0890" w:rsidRDefault="004F0890" w:rsidP="004F0890">
      <w:pPr>
        <w:jc w:val="both"/>
        <w:rPr>
          <w:rFonts w:ascii="Arial" w:hAnsi="Arial" w:cs="Arial"/>
          <w:b/>
          <w:sz w:val="22"/>
          <w:szCs w:val="22"/>
        </w:rPr>
      </w:pPr>
    </w:p>
    <w:p w:rsidR="004F0890" w:rsidRDefault="004F0890" w:rsidP="004F0890">
      <w:pPr>
        <w:jc w:val="both"/>
        <w:rPr>
          <w:rFonts w:ascii="Arial" w:hAnsi="Arial" w:cs="Arial"/>
          <w:b/>
          <w:sz w:val="22"/>
          <w:szCs w:val="22"/>
        </w:rPr>
      </w:pPr>
    </w:p>
    <w:p w:rsidR="004F0890" w:rsidRPr="001C52B8" w:rsidRDefault="004F0890" w:rsidP="004F0890">
      <w:pPr>
        <w:jc w:val="both"/>
        <w:rPr>
          <w:rFonts w:ascii="Arial" w:eastAsia="Segoe UI" w:hAnsi="Arial" w:cs="Arial"/>
          <w:b/>
          <w:bCs/>
          <w:sz w:val="22"/>
          <w:szCs w:val="22"/>
        </w:rPr>
      </w:pPr>
      <w:r w:rsidRPr="001C52B8">
        <w:rPr>
          <w:rFonts w:ascii="Arial" w:hAnsi="Arial" w:cs="Arial"/>
          <w:b/>
          <w:sz w:val="22"/>
          <w:szCs w:val="22"/>
        </w:rPr>
        <w:t xml:space="preserve">Macierz dyskowa jako „data </w:t>
      </w:r>
      <w:proofErr w:type="spellStart"/>
      <w:r w:rsidRPr="001C52B8">
        <w:rPr>
          <w:rFonts w:ascii="Arial" w:hAnsi="Arial" w:cs="Arial"/>
          <w:b/>
          <w:sz w:val="22"/>
          <w:szCs w:val="22"/>
        </w:rPr>
        <w:t>store</w:t>
      </w:r>
      <w:proofErr w:type="spellEnd"/>
      <w:r w:rsidRPr="001C52B8">
        <w:rPr>
          <w:rFonts w:ascii="Arial" w:hAnsi="Arial" w:cs="Arial"/>
          <w:b/>
          <w:sz w:val="22"/>
          <w:szCs w:val="22"/>
        </w:rPr>
        <w:t>” dla systemu wirtualnego – szt. 1</w:t>
      </w:r>
    </w:p>
    <w:p w:rsidR="004F0890" w:rsidRDefault="004F0890" w:rsidP="004F0890">
      <w:pPr>
        <w:jc w:val="both"/>
        <w:rPr>
          <w:rFonts w:ascii="Arial" w:eastAsia="Segoe UI" w:hAnsi="Arial" w:cs="Arial"/>
          <w:b/>
          <w:bCs/>
          <w:sz w:val="22"/>
          <w:szCs w:val="22"/>
        </w:rPr>
      </w:pPr>
    </w:p>
    <w:p w:rsidR="004F0890" w:rsidRPr="00477FB2" w:rsidRDefault="004F0890" w:rsidP="004F0890">
      <w:pPr>
        <w:jc w:val="both"/>
        <w:rPr>
          <w:rFonts w:ascii="Arial" w:hAnsi="Arial" w:cs="Arial"/>
          <w:sz w:val="22"/>
          <w:szCs w:val="22"/>
        </w:rPr>
      </w:pPr>
      <w:r w:rsidRPr="00477FB2">
        <w:rPr>
          <w:rFonts w:ascii="Arial" w:eastAsia="Segoe UI" w:hAnsi="Arial" w:cs="Arial"/>
          <w:b/>
          <w:bCs/>
          <w:sz w:val="22"/>
          <w:szCs w:val="22"/>
        </w:rPr>
        <w:t>......................................................................................</w:t>
      </w:r>
    </w:p>
    <w:p w:rsidR="004F0890" w:rsidRDefault="004F0890" w:rsidP="004F0890">
      <w:pPr>
        <w:shd w:val="clear" w:color="auto" w:fill="FFFFFF"/>
        <w:tabs>
          <w:tab w:val="left" w:leader="dot" w:pos="3542"/>
        </w:tabs>
        <w:spacing w:before="14" w:line="200" w:lineRule="atLeast"/>
        <w:jc w:val="both"/>
        <w:rPr>
          <w:rFonts w:ascii="Arial" w:eastAsia="Segoe UI" w:hAnsi="Arial" w:cs="Arial"/>
          <w:sz w:val="18"/>
          <w:szCs w:val="18"/>
        </w:rPr>
      </w:pPr>
      <w:r w:rsidRPr="00477FB2">
        <w:rPr>
          <w:rFonts w:ascii="Arial" w:eastAsia="Segoe UI" w:hAnsi="Arial" w:cs="Arial"/>
          <w:sz w:val="18"/>
          <w:szCs w:val="18"/>
        </w:rPr>
        <w:t>nazwa producenta, model i symbol oferowanego sprzętu</w:t>
      </w:r>
    </w:p>
    <w:p w:rsidR="004D6ADC" w:rsidRDefault="004D6ADC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tbl>
      <w:tblPr>
        <w:tblW w:w="96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4008"/>
        <w:gridCol w:w="1267"/>
        <w:gridCol w:w="2545"/>
      </w:tblGrid>
      <w:tr w:rsidR="004F0890" w:rsidTr="004F0890"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pStyle w:val="Zawartotabeli"/>
              <w:snapToGrid w:val="0"/>
              <w:spacing w:line="200" w:lineRule="atLeast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WYMAGANIA</w:t>
            </w:r>
          </w:p>
        </w:tc>
        <w:tc>
          <w:tcPr>
            <w:tcW w:w="4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MINIMALNE</w:t>
            </w:r>
          </w:p>
        </w:tc>
        <w:tc>
          <w:tcPr>
            <w:tcW w:w="1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CZY W/W URZĄDZENIE SPEŁNIA WYMAGANIA TAK/NIE</w:t>
            </w:r>
          </w:p>
        </w:tc>
        <w:tc>
          <w:tcPr>
            <w:tcW w:w="2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OFEROWANE</w:t>
            </w: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Obudowa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Do instalacji w standardowej szafie RACK 19”. Wysokość maksymalnie 2U, możliwość instalacji </w:t>
            </w:r>
            <w:r w:rsidRPr="00477FB2">
              <w:rPr>
                <w:rFonts w:ascii="Arial" w:hAnsi="Arial" w:cs="Arial"/>
                <w:color w:val="00B0F0"/>
                <w:sz w:val="20"/>
                <w:szCs w:val="20"/>
              </w:rPr>
              <w:t xml:space="preserve">min. </w:t>
            </w:r>
            <w:r w:rsidRPr="00477FB2">
              <w:rPr>
                <w:rFonts w:ascii="Arial" w:hAnsi="Arial" w:cs="Arial"/>
                <w:sz w:val="20"/>
                <w:szCs w:val="20"/>
              </w:rPr>
              <w:t xml:space="preserve">24 dysków 2.5” Hot Plug wraz z kompletem szyn do montażu w szafie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Rack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Kontrolery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Dwa kontrolery RAID pracujące w układzie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active-active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Posiadające minimum dwa porty SAS 6Gbps per kontroler do podłączenia dodatkowych półek. 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Posiadające minimum dwa porty 10Gb Base-T per kontroler do podłączenia hostów.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Posiadające minimum dwa porty 12Gb SAS per kontroler do podłączenia hostów.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Minimum 2 porty zarządzania 1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GbE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, jeden port </w:t>
            </w:r>
            <w:proofErr w:type="spellStart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miniUSB</w:t>
            </w:r>
            <w:proofErr w:type="spellEnd"/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 xml:space="preserve"> RS-232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Wymagane poziomy RAID 0, 1, 5, 6, 10, niezależny dostęp do dysku każdego z kontrolerów.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Dodatkowo macierz musi posiadać mechanizm tworzenia wirtualnej przestrzeni na minimum 50 dyskach macierzy wraz z wyliczaniem parzystości oraz podwójnej </w:t>
            </w:r>
            <w:r w:rsidRPr="00477FB2">
              <w:rPr>
                <w:rFonts w:ascii="Arial" w:hAnsi="Arial" w:cs="Arial"/>
                <w:sz w:val="20"/>
                <w:szCs w:val="20"/>
              </w:rPr>
              <w:lastRenderedPageBreak/>
              <w:t>parzystości w celu zabezpieczenia danych. Mechanizm ten musi być przygotowany do optymalizacji procesów odtwarzania dysków pojemnościowych NL_SAS.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lastRenderedPageBreak/>
              <w:t>Cache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4GB na kontroler, pamięć cache zapisu mirrorowana między kontrolerami, z opcją zapisu na dysk lub inna pamięć nieulotną lub podtrzymywana bateryjnie przez min. 72h w razie awarii. 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color w:val="FF0000"/>
                <w:sz w:val="20"/>
                <w:szCs w:val="20"/>
              </w:rPr>
              <w:t>Możliwość rozszerzenia pamięci cache poprzez instalację dysków SSD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Dyski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Zainstalowanych 12 dysków Hot-Plug SAS o pojemności 900 GB/10krpm każdy</w:t>
            </w:r>
            <w:r w:rsidRPr="00477FB2">
              <w:rPr>
                <w:rFonts w:ascii="Arial" w:hAnsi="Arial" w:cs="Arial"/>
                <w:sz w:val="20"/>
                <w:szCs w:val="20"/>
              </w:rPr>
              <w:t>, możliwość rozbudowy przez dokładanie kolejnych dysków/półek dyskowych do łącznie minimum 192 dysków, również dysków hot-plug typu SAS. Możliwość mieszania typów dysków w obrębie macierzy oraz pojedynczej półki.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Możliwość instalacji dysków: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-2,5” 15k RMP 146GB oraz 300GB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-2,5” 10k RMP 300GB, 600GB, 900Gb, 1.2TB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-2,5” SSD 200GB, 400GB, 800GB, 1.6TB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Oprogramowanie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Zarządzające macierzą w tym powiadamianie mailem o awarii, umożliwiające maskowanie i mapowanie dysków. Możliwość rozbudowy funkcjonalności macierzy o kopie migawkowe (licencja na minimum 8 kopii na dysk logiczny). Możliwość rozbudowania oprogramowania o funkcjonalność pełnych kopii dysków logicznych.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Możliwość rozbudowy o licencję pozwalającą na utworzenia minimum 512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LUN’ów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>/128 kopii migawkowych.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Licencja macierzy powinna umożliwiać podłączanie minimum 64 hostów bez konieczności zakupu dodatkowych licencji. 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Możliwość rozbudowy o funkcjonalność asynchronicznej replikacji pomiędzy druga identyczną macierzą.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Możliwość pobrania ze strony producenta 90-dniowych licencji testowych rozszerzających funkcjonalności macierzy.</w:t>
            </w:r>
          </w:p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Wraz z macierzą należy dostarczyć oprogramowanie do zarządzania, umożliwiające także zarządzanie objętymi niniejszym postępowaniem serwerami.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Wsparcie dla systemów operacyjnych oraz technologii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MS Windows 2008/2012, Microsoft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HyperV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, SUSE, REDHAT,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VMware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XenServer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, CITRIX, 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Szyfrowanie danych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Macierz musi posiadać wewnętrzne rozwiązanie umożliwiające szyfrowanie danych zapisywanych na dyskach. Rozwiązanie nie może powodować konieczności użycia dodatkowych hostów/serwerów.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Dodatkowe funkcjonalności: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Możliwość rozbudowy o funkcjonalność replikacji danych poprzez sieć 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Możliwość rozbudowy macierzy o dyski SSD rozszerzające CACHE macierzy.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Bezpieczeństwo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Ciągła praca obu kontrolerów nawet w przypadku zaniku jednej z faz zasilania. Zasilacze, wentylatory, kontrolery RAID redundantne.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Dokumentacja użytkownika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Zamawiający wymaga dokumentacji w języku polskim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Certyfikaty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Sprzęt musi być wyprodukowany zgodnie z normą  ISO 9001 oraz ISO 14001 – certyfikaty należy załączyć do oferty</w:t>
            </w:r>
          </w:p>
          <w:p w:rsidR="004F0890" w:rsidRPr="00477FB2" w:rsidRDefault="004F0890" w:rsidP="004F08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Sprzęt musi posiadać deklarację CE (dokument załączyć do oferty)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Karta katalogowa urządzenia (dołączyć do oferty)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4F0890" w:rsidRDefault="004F0890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4F0890" w:rsidRPr="00477FB2" w:rsidRDefault="004F0890" w:rsidP="004F0890">
      <w:pPr>
        <w:pStyle w:val="Nagwek3"/>
        <w:jc w:val="both"/>
        <w:rPr>
          <w:rFonts w:ascii="Arial" w:hAnsi="Arial" w:cs="Arial"/>
          <w:sz w:val="22"/>
          <w:szCs w:val="22"/>
        </w:rPr>
      </w:pPr>
      <w:r w:rsidRPr="00477FB2">
        <w:rPr>
          <w:rFonts w:ascii="Arial" w:hAnsi="Arial" w:cs="Arial"/>
          <w:sz w:val="22"/>
          <w:szCs w:val="22"/>
        </w:rPr>
        <w:t>Przełącznik dedykowany do obsługi wdrażanego środowiska wirtualnego – szt.1</w:t>
      </w:r>
    </w:p>
    <w:p w:rsidR="004F0890" w:rsidRDefault="004F0890" w:rsidP="004F0890">
      <w:pPr>
        <w:jc w:val="both"/>
        <w:rPr>
          <w:rFonts w:ascii="Arial" w:eastAsia="Segoe UI" w:hAnsi="Arial" w:cs="Arial"/>
          <w:b/>
          <w:bCs/>
          <w:sz w:val="22"/>
          <w:szCs w:val="22"/>
        </w:rPr>
      </w:pPr>
    </w:p>
    <w:p w:rsidR="004F0890" w:rsidRPr="00477FB2" w:rsidRDefault="004F0890" w:rsidP="004F0890">
      <w:pPr>
        <w:jc w:val="both"/>
        <w:rPr>
          <w:rFonts w:ascii="Arial" w:hAnsi="Arial" w:cs="Arial"/>
          <w:sz w:val="22"/>
          <w:szCs w:val="22"/>
        </w:rPr>
      </w:pPr>
      <w:r w:rsidRPr="00477FB2">
        <w:rPr>
          <w:rFonts w:ascii="Arial" w:eastAsia="Segoe UI" w:hAnsi="Arial" w:cs="Arial"/>
          <w:b/>
          <w:bCs/>
          <w:sz w:val="22"/>
          <w:szCs w:val="22"/>
        </w:rPr>
        <w:t>......................................................................................</w:t>
      </w:r>
    </w:p>
    <w:p w:rsidR="004F0890" w:rsidRDefault="004F0890" w:rsidP="004F0890">
      <w:pPr>
        <w:shd w:val="clear" w:color="auto" w:fill="FFFFFF"/>
        <w:tabs>
          <w:tab w:val="left" w:leader="dot" w:pos="3542"/>
        </w:tabs>
        <w:spacing w:before="14" w:line="200" w:lineRule="atLeast"/>
        <w:jc w:val="both"/>
        <w:rPr>
          <w:rFonts w:ascii="Arial" w:eastAsia="Segoe UI" w:hAnsi="Arial" w:cs="Arial"/>
          <w:sz w:val="18"/>
          <w:szCs w:val="18"/>
        </w:rPr>
      </w:pPr>
      <w:r w:rsidRPr="00477FB2">
        <w:rPr>
          <w:rFonts w:ascii="Arial" w:eastAsia="Segoe UI" w:hAnsi="Arial" w:cs="Arial"/>
          <w:sz w:val="18"/>
          <w:szCs w:val="18"/>
        </w:rPr>
        <w:t>nazwa producenta, model i symbol oferowanego sprzętu</w:t>
      </w:r>
    </w:p>
    <w:p w:rsidR="004F0890" w:rsidRDefault="004F0890" w:rsidP="004F0890">
      <w:pPr>
        <w:jc w:val="both"/>
        <w:rPr>
          <w:rFonts w:ascii="Arial" w:eastAsia="Segoe UI" w:hAnsi="Arial" w:cs="Arial"/>
          <w:b/>
          <w:bCs/>
          <w:sz w:val="22"/>
          <w:szCs w:val="22"/>
        </w:rPr>
      </w:pPr>
    </w:p>
    <w:tbl>
      <w:tblPr>
        <w:tblW w:w="96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4008"/>
        <w:gridCol w:w="1267"/>
        <w:gridCol w:w="2545"/>
      </w:tblGrid>
      <w:tr w:rsidR="004F0890" w:rsidTr="004F0890"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pStyle w:val="Zawartotabeli"/>
              <w:snapToGrid w:val="0"/>
              <w:spacing w:line="200" w:lineRule="atLeast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WYMAGANIA</w:t>
            </w:r>
          </w:p>
        </w:tc>
        <w:tc>
          <w:tcPr>
            <w:tcW w:w="4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MINIMALNE</w:t>
            </w:r>
          </w:p>
        </w:tc>
        <w:tc>
          <w:tcPr>
            <w:tcW w:w="1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CZY W/W URZĄDZENIE SPEŁNIA WYMAGANIA TAK/NIE</w:t>
            </w:r>
          </w:p>
        </w:tc>
        <w:tc>
          <w:tcPr>
            <w:tcW w:w="2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OFEROWANE</w:t>
            </w: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Ilość portów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9968E5">
            <w:pPr>
              <w:pStyle w:val="Akapitzlist1"/>
              <w:numPr>
                <w:ilvl w:val="0"/>
                <w:numId w:val="34"/>
              </w:numPr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Min 24 porty 10GBaseT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4"/>
              </w:numPr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Możliwość rozbudowy min o :</w:t>
            </w:r>
          </w:p>
          <w:p w:rsidR="004F0890" w:rsidRPr="00477FB2" w:rsidRDefault="004F0890" w:rsidP="009968E5">
            <w:pPr>
              <w:pStyle w:val="Akapitzlist1"/>
              <w:numPr>
                <w:ilvl w:val="1"/>
                <w:numId w:val="34"/>
              </w:numPr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2 porty 40GbE (QSFP+) lub</w:t>
            </w:r>
          </w:p>
          <w:p w:rsidR="004F0890" w:rsidRPr="00477FB2" w:rsidRDefault="004F0890" w:rsidP="009968E5">
            <w:pPr>
              <w:pStyle w:val="Akapitzlist1"/>
              <w:numPr>
                <w:ilvl w:val="1"/>
                <w:numId w:val="34"/>
              </w:numPr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4 porty 10Gigabit Ethernet 10GBaseT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4"/>
              </w:numPr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1 port RJ45 umożliwiający zarządzanie poprzez konsolę, 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4"/>
              </w:numPr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1 port Ethernet RJ45 dedykowany do zarządzania Out-Of-Band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1 port USB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Wymiar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ind w:left="-71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 Szerokość: 19 cali  do montażu w szafie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rackowej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>, wysokość: max 1 U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Funkcjonalność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Stakowalny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do minimum 2 urządzeń w stosie portami 10GbE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Możliwość obsługi kabli DAC 10GbE (Direct Attached Cable) min długości::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Fonts w:ascii="Arial" w:hAnsi="Arial" w:cs="Arial"/>
                <w:sz w:val="20"/>
                <w:szCs w:val="20"/>
                <w:lang w:val="pl-PL"/>
              </w:rPr>
              <w:t>0.5m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Fonts w:ascii="Arial" w:hAnsi="Arial" w:cs="Arial"/>
                <w:sz w:val="20"/>
                <w:szCs w:val="20"/>
                <w:lang w:val="pl-PL"/>
              </w:rPr>
              <w:t>1m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Fonts w:ascii="Arial" w:hAnsi="Arial" w:cs="Arial"/>
                <w:sz w:val="20"/>
                <w:szCs w:val="20"/>
                <w:lang w:val="pl-PL"/>
              </w:rPr>
              <w:t>3m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Fonts w:ascii="Arial" w:hAnsi="Arial" w:cs="Arial"/>
                <w:sz w:val="20"/>
                <w:szCs w:val="20"/>
                <w:lang w:val="pl-PL"/>
              </w:rPr>
              <w:t>5m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Fonts w:ascii="Arial" w:hAnsi="Arial" w:cs="Arial"/>
                <w:sz w:val="20"/>
                <w:szCs w:val="20"/>
                <w:lang w:val="pl-PL"/>
              </w:rPr>
              <w:t>7m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Redundantne min 2 zasilacze AC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Redundantne min 2 wiatraki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Chłodzenie przełącznika od portów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Eth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w kierunku zasilaczy (od przodu do tyłu urządzenia)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Forwarding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Rate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min. 470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Mpps</w:t>
            </w:r>
            <w:proofErr w:type="spellEnd"/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Switching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fabric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min. 640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Gbps</w:t>
            </w:r>
            <w:proofErr w:type="spellEnd"/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Wsparcie dla Jumbo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Frame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min 9KB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Obsługa IPv6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Obsługa routingu, min.: </w:t>
            </w:r>
          </w:p>
          <w:p w:rsidR="004F0890" w:rsidRPr="00477FB2" w:rsidRDefault="004F0890" w:rsidP="004F0890">
            <w:pPr>
              <w:ind w:left="144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- RIP v1/2;</w:t>
            </w:r>
          </w:p>
          <w:p w:rsidR="004F0890" w:rsidRPr="00477FB2" w:rsidRDefault="004F0890" w:rsidP="004F0890">
            <w:pPr>
              <w:ind w:left="144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- OSPF v1/2/3 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Obsługa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multicastu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, min.: </w:t>
            </w:r>
          </w:p>
          <w:p w:rsidR="004F0890" w:rsidRPr="00477FB2" w:rsidRDefault="004F0890" w:rsidP="004F0890">
            <w:pPr>
              <w:ind w:left="144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- IGMP v1/2/3;</w:t>
            </w:r>
          </w:p>
          <w:p w:rsidR="004F0890" w:rsidRPr="00477FB2" w:rsidRDefault="004F0890" w:rsidP="004F0890">
            <w:pPr>
              <w:ind w:left="144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- IGMP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Snooping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Querier</w:t>
            </w:r>
            <w:proofErr w:type="spellEnd"/>
          </w:p>
          <w:p w:rsidR="004F0890" w:rsidRPr="00477FB2" w:rsidRDefault="004F0890" w:rsidP="004F0890">
            <w:pPr>
              <w:ind w:left="144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- IGMP Proxy</w:t>
            </w:r>
          </w:p>
          <w:p w:rsidR="004F0890" w:rsidRPr="00477FB2" w:rsidRDefault="004F0890" w:rsidP="004F0890">
            <w:pPr>
              <w:ind w:left="144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- PIM-SM i SSM 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Rozmiar tablicy routingu min.: 8 000 wpisów IPv4,  4 000 wpisów IPv6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Pamięć MAC adresów min. 130 000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Wsparcie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multicast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, min 2000 Grup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multicastowych</w:t>
            </w:r>
            <w:proofErr w:type="spellEnd"/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ACL – minimum 100 list, minimum 1000 reguł na ACL, min 4000 reguł na wszystkie ACL</w:t>
            </w:r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Min 1000 aktywnych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VLANów</w:t>
            </w:r>
            <w:proofErr w:type="spellEnd"/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Obsługa Prywatnych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VLANów</w:t>
            </w:r>
            <w:proofErr w:type="spellEnd"/>
          </w:p>
          <w:p w:rsidR="004F0890" w:rsidRPr="00477FB2" w:rsidRDefault="004F0890" w:rsidP="009968E5">
            <w:pPr>
              <w:numPr>
                <w:ilvl w:val="0"/>
                <w:numId w:val="18"/>
              </w:num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Pobór mocy max 180 W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Obsługiwane standardy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9968E5">
            <w:pPr>
              <w:pStyle w:val="Wcicienormalne"/>
              <w:numPr>
                <w:ilvl w:val="0"/>
                <w:numId w:val="28"/>
              </w:numPr>
              <w:tabs>
                <w:tab w:val="num" w:pos="650"/>
              </w:tabs>
              <w:ind w:left="1440" w:hanging="1150"/>
              <w:rPr>
                <w:rFonts w:ascii="Arial" w:hAnsi="Arial" w:cs="Arial"/>
                <w:lang w:val="pl-PL"/>
              </w:rPr>
            </w:pPr>
            <w:r w:rsidRPr="00477FB2">
              <w:rPr>
                <w:rFonts w:ascii="Arial" w:hAnsi="Arial" w:cs="Arial"/>
                <w:lang w:val="pl-PL"/>
              </w:rPr>
              <w:t>VLAN – IEEE 802.1Q</w:t>
            </w:r>
          </w:p>
          <w:p w:rsidR="004F0890" w:rsidRPr="00477FB2" w:rsidRDefault="004F0890" w:rsidP="009968E5">
            <w:pPr>
              <w:pStyle w:val="Wcicienormalne"/>
              <w:numPr>
                <w:ilvl w:val="0"/>
                <w:numId w:val="28"/>
              </w:numPr>
              <w:tabs>
                <w:tab w:val="num" w:pos="650"/>
              </w:tabs>
              <w:ind w:left="1440" w:hanging="1150"/>
              <w:rPr>
                <w:rFonts w:ascii="Arial" w:hAnsi="Arial" w:cs="Arial"/>
                <w:lang w:val="pl-PL"/>
              </w:rPr>
            </w:pPr>
            <w:proofErr w:type="spellStart"/>
            <w:r w:rsidRPr="00477FB2">
              <w:rPr>
                <w:rFonts w:ascii="Arial" w:hAnsi="Arial" w:cs="Arial"/>
                <w:lang w:val="pl-PL"/>
              </w:rPr>
              <w:t>QoS</w:t>
            </w:r>
            <w:proofErr w:type="spellEnd"/>
            <w:r w:rsidRPr="00477FB2">
              <w:rPr>
                <w:rFonts w:ascii="Arial" w:hAnsi="Arial" w:cs="Arial"/>
                <w:lang w:val="pl-PL"/>
              </w:rPr>
              <w:t xml:space="preserve"> – IEEE 802.1p</w:t>
            </w:r>
          </w:p>
          <w:p w:rsidR="004F0890" w:rsidRPr="00477FB2" w:rsidRDefault="004F0890" w:rsidP="009968E5">
            <w:pPr>
              <w:numPr>
                <w:ilvl w:val="0"/>
                <w:numId w:val="28"/>
              </w:numPr>
              <w:tabs>
                <w:tab w:val="num" w:pos="650"/>
              </w:tabs>
              <w:suppressAutoHyphens w:val="0"/>
              <w:ind w:left="1440" w:hanging="115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Link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Aggregation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– IEEE 802.3ad</w:t>
            </w:r>
          </w:p>
          <w:p w:rsidR="004F0890" w:rsidRPr="00477FB2" w:rsidRDefault="004F0890" w:rsidP="009968E5">
            <w:pPr>
              <w:numPr>
                <w:ilvl w:val="0"/>
                <w:numId w:val="28"/>
              </w:numPr>
              <w:tabs>
                <w:tab w:val="num" w:pos="650"/>
              </w:tabs>
              <w:suppressAutoHyphens w:val="0"/>
              <w:ind w:left="1440" w:hanging="115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Edge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Authentication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– IEEE 802.1x</w:t>
            </w:r>
          </w:p>
          <w:p w:rsidR="004F0890" w:rsidRPr="00477FB2" w:rsidRDefault="004F0890" w:rsidP="009968E5">
            <w:pPr>
              <w:numPr>
                <w:ilvl w:val="0"/>
                <w:numId w:val="28"/>
              </w:numPr>
              <w:tabs>
                <w:tab w:val="num" w:pos="650"/>
              </w:tabs>
              <w:suppressAutoHyphens w:val="0"/>
              <w:ind w:left="1440" w:hanging="115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Rapid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Spanning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Tree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– IEEE 802.1w</w:t>
            </w:r>
          </w:p>
          <w:p w:rsidR="004F0890" w:rsidRPr="00477FB2" w:rsidRDefault="004F0890" w:rsidP="009968E5">
            <w:pPr>
              <w:numPr>
                <w:ilvl w:val="0"/>
                <w:numId w:val="28"/>
              </w:numPr>
              <w:tabs>
                <w:tab w:val="num" w:pos="650"/>
              </w:tabs>
              <w:suppressAutoHyphens w:val="0"/>
              <w:ind w:left="1440" w:hanging="115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Multiple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Spanning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Trees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 – IEEE 802.1s</w:t>
            </w:r>
          </w:p>
          <w:p w:rsidR="004F0890" w:rsidRPr="00477FB2" w:rsidRDefault="004F0890" w:rsidP="009968E5">
            <w:pPr>
              <w:numPr>
                <w:ilvl w:val="0"/>
                <w:numId w:val="28"/>
              </w:numPr>
              <w:suppressAutoHyphens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477FB2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Data Center </w:t>
            </w:r>
            <w:proofErr w:type="spellStart"/>
            <w:r w:rsidRPr="00477FB2">
              <w:rPr>
                <w:rFonts w:ascii="Arial" w:hAnsi="Arial" w:cs="Arial"/>
                <w:bCs/>
                <w:iCs/>
                <w:sz w:val="20"/>
                <w:szCs w:val="20"/>
              </w:rPr>
              <w:t>Bridging</w:t>
            </w:r>
            <w:proofErr w:type="spellEnd"/>
            <w:r w:rsidRPr="00477FB2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w tym: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1"/>
              </w:numPr>
              <w:contextualSpacing w:val="0"/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</w:pPr>
            <w:r w:rsidRPr="00477FB2"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  <w:t>PFC - 802.1Qbb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1"/>
              </w:numPr>
              <w:contextualSpacing w:val="0"/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</w:pPr>
            <w:r w:rsidRPr="00477FB2"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  <w:t xml:space="preserve">ETS -  802.1Qaz 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1"/>
              </w:numPr>
              <w:contextualSpacing w:val="0"/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</w:pPr>
            <w:proofErr w:type="spellStart"/>
            <w:r w:rsidRPr="00477FB2"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  <w:t>DCBx</w:t>
            </w:r>
            <w:proofErr w:type="spellEnd"/>
            <w:r w:rsidRPr="00477FB2"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  <w:t xml:space="preserve">, 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1"/>
              </w:numPr>
              <w:contextualSpacing w:val="0"/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</w:pPr>
            <w:proofErr w:type="spellStart"/>
            <w:r w:rsidRPr="00477FB2"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  <w:t>iSCSI</w:t>
            </w:r>
            <w:proofErr w:type="spellEnd"/>
            <w:r w:rsidRPr="00477FB2">
              <w:rPr>
                <w:rFonts w:ascii="Arial" w:hAnsi="Arial" w:cs="Arial"/>
                <w:bCs/>
                <w:iCs/>
                <w:sz w:val="20"/>
                <w:szCs w:val="20"/>
                <w:lang w:val="pl-PL"/>
              </w:rPr>
              <w:t xml:space="preserve"> TLV</w:t>
            </w:r>
          </w:p>
          <w:p w:rsidR="004F0890" w:rsidRPr="00477FB2" w:rsidRDefault="004F0890" w:rsidP="009968E5">
            <w:pPr>
              <w:numPr>
                <w:ilvl w:val="0"/>
                <w:numId w:val="28"/>
              </w:numPr>
              <w:tabs>
                <w:tab w:val="num" w:pos="650"/>
              </w:tabs>
              <w:suppressAutoHyphens w:val="0"/>
              <w:ind w:left="1440" w:hanging="115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Industry</w:t>
            </w:r>
            <w:proofErr w:type="spellEnd"/>
            <w:r w:rsidRPr="00477FB2">
              <w:rPr>
                <w:rFonts w:ascii="Arial" w:hAnsi="Arial" w:cs="Arial"/>
                <w:sz w:val="20"/>
                <w:szCs w:val="20"/>
              </w:rPr>
              <w:t xml:space="preserve">-standard MIB </w:t>
            </w:r>
            <w:proofErr w:type="spellStart"/>
            <w:r w:rsidRPr="00477FB2">
              <w:rPr>
                <w:rFonts w:ascii="Arial" w:hAnsi="Arial" w:cs="Arial"/>
                <w:sz w:val="20"/>
                <w:szCs w:val="20"/>
              </w:rPr>
              <w:t>support</w:t>
            </w:r>
            <w:proofErr w:type="spellEnd"/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1"/>
              <w:spacing w:line="276" w:lineRule="auto"/>
              <w:ind w:left="0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  <w:lang w:val="pl-PL"/>
              </w:rPr>
              <w:t>Zarządzanie, zabezpieczenia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Połączenie szyfrowane: SSL/SSH,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autentykacja dostępu do przełącznika w oparciu o Radius lub TACACS+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listy dostępu (ACL) warstwy 2/3/4 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listy dostępu (ACL) konfigurowalne dla fizycznego portu, łącza zagregowanego LAG i VLAN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obsługa RMON, 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obsługa SNMP v2 i v3,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obsługa </w:t>
            </w:r>
            <w:proofErr w:type="spellStart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sFlow</w:t>
            </w:r>
            <w:proofErr w:type="spellEnd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,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możliwość przechowywania dwóch wersji oprogramowania na przełączniku,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obsługa DHCP Server i </w:t>
            </w:r>
            <w:proofErr w:type="spellStart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Relay</w:t>
            </w:r>
            <w:proofErr w:type="spellEnd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 Agent,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obsługa 802.1x w tym: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2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MAC-</w:t>
            </w:r>
            <w:proofErr w:type="spellStart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based</w:t>
            </w:r>
            <w:proofErr w:type="spellEnd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authentication</w:t>
            </w:r>
            <w:proofErr w:type="spellEnd"/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2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MAC </w:t>
            </w:r>
            <w:proofErr w:type="spellStart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authentication</w:t>
            </w:r>
            <w:proofErr w:type="spellEnd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 bypass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32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Guest</w:t>
            </w:r>
            <w:proofErr w:type="spellEnd"/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 xml:space="preserve"> VLAN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Style w:val="pointnormal"/>
                <w:rFonts w:ascii="Arial" w:hAnsi="Arial" w:cs="Arial"/>
                <w:sz w:val="20"/>
                <w:szCs w:val="20"/>
                <w:lang w:val="pl-PL"/>
              </w:rPr>
              <w:t>Zarządzenie przez CLI i przez przeglądarkę internetową,</w:t>
            </w:r>
          </w:p>
          <w:p w:rsidR="004F0890" w:rsidRPr="00477FB2" w:rsidRDefault="004F0890" w:rsidP="009968E5">
            <w:pPr>
              <w:pStyle w:val="Akapitzlist1"/>
              <w:numPr>
                <w:ilvl w:val="0"/>
                <w:numId w:val="29"/>
              </w:numPr>
              <w:contextualSpacing w:val="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77FB2">
              <w:rPr>
                <w:rFonts w:ascii="Arial" w:hAnsi="Arial" w:cs="Arial"/>
                <w:sz w:val="20"/>
                <w:szCs w:val="20"/>
                <w:lang w:val="pl-PL"/>
              </w:rPr>
              <w:t>Producent sprzętu powinien udostępnić darmowe oprogramowanie do centralnego zarzadzania przełącznikami w ilości min 10 licencji.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Warunki gwarancji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77FB2">
              <w:rPr>
                <w:rFonts w:ascii="Arial" w:hAnsi="Arial" w:cs="Arial"/>
                <w:bCs/>
                <w:sz w:val="20"/>
                <w:szCs w:val="20"/>
              </w:rPr>
              <w:t xml:space="preserve">Gwarancja czasu życia (Limited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  <w:szCs w:val="20"/>
              </w:rPr>
              <w:t>Lifetime</w:t>
            </w:r>
            <w:proofErr w:type="spellEnd"/>
            <w:r w:rsidRPr="00477FB2">
              <w:rPr>
                <w:rFonts w:ascii="Arial" w:hAnsi="Arial" w:cs="Arial"/>
                <w:bCs/>
                <w:sz w:val="20"/>
                <w:szCs w:val="20"/>
              </w:rPr>
              <w:t xml:space="preserve"> warranty) obejmująca: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77FB2">
              <w:rPr>
                <w:rFonts w:ascii="Arial" w:hAnsi="Arial" w:cs="Arial"/>
                <w:bCs/>
                <w:sz w:val="20"/>
                <w:szCs w:val="20"/>
              </w:rPr>
              <w:t>- przełącznik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77FB2">
              <w:rPr>
                <w:rFonts w:ascii="Arial" w:hAnsi="Arial" w:cs="Arial"/>
                <w:bCs/>
                <w:sz w:val="20"/>
                <w:szCs w:val="20"/>
              </w:rPr>
              <w:t>- zasilacze i wiatraki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77FB2">
              <w:rPr>
                <w:rFonts w:ascii="Arial" w:hAnsi="Arial" w:cs="Arial"/>
                <w:bCs/>
                <w:sz w:val="20"/>
                <w:szCs w:val="20"/>
              </w:rPr>
              <w:t>- moduły SFP, SFP+ i QSFP+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77FB2">
              <w:rPr>
                <w:rFonts w:ascii="Arial" w:hAnsi="Arial" w:cs="Arial"/>
                <w:bCs/>
                <w:sz w:val="20"/>
                <w:szCs w:val="20"/>
              </w:rPr>
              <w:t>- bezterminowy dostęp do nowych wersji oprogramowania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Dokumentacja użytkownika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 xml:space="preserve">Zamawiający wymaga dokumentacji </w:t>
            </w:r>
            <w:r w:rsidRPr="00477FB2">
              <w:rPr>
                <w:rFonts w:ascii="Arial" w:hAnsi="Arial" w:cs="Arial"/>
                <w:color w:val="00B0F0"/>
                <w:sz w:val="20"/>
                <w:szCs w:val="20"/>
              </w:rPr>
              <w:t xml:space="preserve">w wersji elektronicznej i drukowanej </w:t>
            </w:r>
            <w:r w:rsidRPr="00477FB2">
              <w:rPr>
                <w:rFonts w:ascii="Arial" w:hAnsi="Arial" w:cs="Arial"/>
                <w:sz w:val="20"/>
                <w:szCs w:val="20"/>
              </w:rPr>
              <w:t xml:space="preserve">w języku polskim </w:t>
            </w:r>
            <w:r w:rsidRPr="00477FB2">
              <w:rPr>
                <w:rFonts w:ascii="Arial" w:hAnsi="Arial" w:cs="Arial"/>
                <w:color w:val="00B0F0"/>
                <w:sz w:val="20"/>
                <w:szCs w:val="20"/>
              </w:rPr>
              <w:t>lub angielskim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7FB2">
              <w:rPr>
                <w:rFonts w:ascii="Arial" w:hAnsi="Arial" w:cs="Arial"/>
                <w:b/>
                <w:sz w:val="20"/>
                <w:szCs w:val="20"/>
              </w:rPr>
              <w:t>Certyfikaty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  <w:szCs w:val="20"/>
              </w:rPr>
              <w:t>Sprzęt musi być wyprodukowany zgodnie z normą  ISO 9001 oraz ISO 14001 – certyfikaty należy załączyć do oferty</w:t>
            </w:r>
          </w:p>
          <w:p w:rsidR="004F0890" w:rsidRPr="00477FB2" w:rsidRDefault="004F0890" w:rsidP="004F0890">
            <w:pPr>
              <w:rPr>
                <w:rFonts w:ascii="Arial" w:hAnsi="Arial" w:cs="Arial"/>
                <w:sz w:val="20"/>
                <w:szCs w:val="20"/>
              </w:rPr>
            </w:pP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Sprzęt musi posiadać deklarację CE (dokument załączyć do oferty)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4F0890" w:rsidRDefault="004F0890" w:rsidP="004F0890">
      <w:pPr>
        <w:jc w:val="both"/>
        <w:rPr>
          <w:rFonts w:ascii="Arial" w:eastAsia="Segoe UI" w:hAnsi="Arial" w:cs="Arial"/>
          <w:b/>
          <w:bCs/>
          <w:sz w:val="22"/>
          <w:szCs w:val="22"/>
        </w:rPr>
      </w:pPr>
      <w:r>
        <w:rPr>
          <w:rFonts w:ascii="Arial" w:eastAsia="Segoe UI" w:hAnsi="Arial" w:cs="Arial"/>
          <w:b/>
          <w:bCs/>
          <w:sz w:val="22"/>
          <w:szCs w:val="22"/>
        </w:rPr>
        <w:t xml:space="preserve">       </w:t>
      </w:r>
    </w:p>
    <w:p w:rsidR="004F0890" w:rsidRPr="00477FB2" w:rsidRDefault="004F0890" w:rsidP="004F0890">
      <w:pPr>
        <w:pStyle w:val="Nagwek3"/>
        <w:jc w:val="left"/>
        <w:rPr>
          <w:rFonts w:ascii="Arial" w:hAnsi="Arial" w:cs="Arial"/>
          <w:sz w:val="22"/>
          <w:szCs w:val="22"/>
        </w:rPr>
      </w:pPr>
      <w:r w:rsidRPr="00477FB2">
        <w:rPr>
          <w:rFonts w:ascii="Arial" w:hAnsi="Arial" w:cs="Arial"/>
          <w:sz w:val="22"/>
          <w:szCs w:val="22"/>
        </w:rPr>
        <w:t>Serwer NAS jako archiwum kopii – szt. 1</w:t>
      </w:r>
    </w:p>
    <w:p w:rsidR="004F0890" w:rsidRDefault="004F0890" w:rsidP="004F0890">
      <w:pPr>
        <w:jc w:val="both"/>
        <w:rPr>
          <w:rFonts w:ascii="Arial" w:eastAsia="Segoe UI" w:hAnsi="Arial" w:cs="Arial"/>
          <w:b/>
          <w:bCs/>
          <w:sz w:val="22"/>
          <w:szCs w:val="22"/>
        </w:rPr>
      </w:pPr>
    </w:p>
    <w:p w:rsidR="004F0890" w:rsidRPr="00477FB2" w:rsidRDefault="004F0890" w:rsidP="004F0890">
      <w:pPr>
        <w:jc w:val="both"/>
        <w:rPr>
          <w:rFonts w:ascii="Arial" w:hAnsi="Arial" w:cs="Arial"/>
          <w:sz w:val="22"/>
          <w:szCs w:val="22"/>
        </w:rPr>
      </w:pPr>
      <w:r w:rsidRPr="00477FB2">
        <w:rPr>
          <w:rFonts w:ascii="Arial" w:eastAsia="Segoe UI" w:hAnsi="Arial" w:cs="Arial"/>
          <w:b/>
          <w:bCs/>
          <w:sz w:val="22"/>
          <w:szCs w:val="22"/>
        </w:rPr>
        <w:t>......................................................................................</w:t>
      </w:r>
    </w:p>
    <w:p w:rsidR="004F0890" w:rsidRDefault="004F0890" w:rsidP="004F0890">
      <w:pPr>
        <w:shd w:val="clear" w:color="auto" w:fill="FFFFFF"/>
        <w:tabs>
          <w:tab w:val="left" w:leader="dot" w:pos="3542"/>
        </w:tabs>
        <w:spacing w:before="14" w:line="200" w:lineRule="atLeast"/>
        <w:jc w:val="both"/>
        <w:rPr>
          <w:rFonts w:ascii="Arial" w:eastAsia="Segoe UI" w:hAnsi="Arial" w:cs="Arial"/>
          <w:sz w:val="18"/>
          <w:szCs w:val="18"/>
        </w:rPr>
      </w:pPr>
      <w:r w:rsidRPr="00477FB2">
        <w:rPr>
          <w:rFonts w:ascii="Arial" w:eastAsia="Segoe UI" w:hAnsi="Arial" w:cs="Arial"/>
          <w:sz w:val="18"/>
          <w:szCs w:val="18"/>
        </w:rPr>
        <w:t>nazwa producenta, model i symbol oferowanego sprzętu</w:t>
      </w:r>
    </w:p>
    <w:p w:rsidR="004F0890" w:rsidRDefault="004F0890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tbl>
      <w:tblPr>
        <w:tblW w:w="96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4008"/>
        <w:gridCol w:w="1267"/>
        <w:gridCol w:w="2545"/>
      </w:tblGrid>
      <w:tr w:rsidR="004F0890" w:rsidTr="004F0890"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pStyle w:val="Zawartotabeli"/>
              <w:snapToGrid w:val="0"/>
              <w:spacing w:line="200" w:lineRule="atLeast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WYMAGANIA</w:t>
            </w:r>
          </w:p>
        </w:tc>
        <w:tc>
          <w:tcPr>
            <w:tcW w:w="4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MINIMALNE</w:t>
            </w:r>
          </w:p>
        </w:tc>
        <w:tc>
          <w:tcPr>
            <w:tcW w:w="1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CZY W/W URZĄDZENIE SPEŁNIA WYMAGANIA TAK/NIE</w:t>
            </w:r>
          </w:p>
        </w:tc>
        <w:tc>
          <w:tcPr>
            <w:tcW w:w="2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OFEROWANE</w:t>
            </w: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Procesor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 xml:space="preserve">osiągający w teście </w:t>
            </w:r>
            <w:proofErr w:type="spellStart"/>
            <w:r w:rsidRPr="00477FB2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>PassMark</w:t>
            </w:r>
            <w:proofErr w:type="spellEnd"/>
            <w:r w:rsidRPr="00477FB2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 xml:space="preserve"> CPU Mark wynik min. 2646 punktów na dzień 14.09.2015r. (wyniki ze strony </w:t>
            </w:r>
            <w:hyperlink r:id="rId11" w:history="1">
              <w:r w:rsidRPr="00477FB2">
                <w:rPr>
                  <w:rStyle w:val="Hipercze"/>
                  <w:rFonts w:ascii="Arial" w:eastAsia="Calibri" w:hAnsi="Arial" w:cs="Arial"/>
                  <w:bCs/>
                  <w:sz w:val="22"/>
                  <w:szCs w:val="20"/>
                </w:rPr>
                <w:t>http://www.cpubenchmark.net/cpu_list.php</w:t>
              </w:r>
            </w:hyperlink>
            <w:r w:rsidRPr="00477FB2"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  <w:t xml:space="preserve"> z danego dnia dostępne są u Zamawiającego)</w:t>
            </w:r>
          </w:p>
          <w:p w:rsidR="004F0890" w:rsidRPr="00477FB2" w:rsidRDefault="004F0890" w:rsidP="004F0890">
            <w:pPr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</w:pPr>
          </w:p>
          <w:p w:rsidR="004F0890" w:rsidRPr="00477FB2" w:rsidRDefault="004F0890" w:rsidP="004F0890">
            <w:pPr>
              <w:rPr>
                <w:rFonts w:ascii="Arial" w:eastAsia="Calibri" w:hAnsi="Arial" w:cs="Arial"/>
                <w:bCs/>
                <w:color w:val="000000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Cs/>
                <w:sz w:val="20"/>
                <w:szCs w:val="20"/>
              </w:rPr>
              <w:t>Zamawiający zastrzega sobie, iż w celu sprawdzenia poprawności przeprowadzenia testu może zażądać od wyłonionego Wykonawcy dostarczenia oprogramowania testującego, komputera do testu oraz dokładnego opisu metodyki przeprowadzonego testu wraz z wynikami w celu ich sprawdzenia w terminie nie dłuższym niż 10 dni od otrzymania zawiadomienia od Zamawiającego</w:t>
            </w:r>
          </w:p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Pamięć RAM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min. 2GB z możliwością rozszerzenia do 16GB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LAN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4x RJ-45 Gigabit Ethernet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Kieszenie na dyski twarde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4x 2,5/3,5” SATA I/II/III typu hot-</w:t>
            </w: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swap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>, obsługa dysków SSD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Pamięć </w:t>
            </w:r>
            <w:proofErr w:type="spellStart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flash</w:t>
            </w:r>
            <w:proofErr w:type="spellEnd"/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512 MB DOM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Porty USB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4 porty USB 3.0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Typ obudowy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sz w:val="20"/>
                <w:szCs w:val="20"/>
              </w:rPr>
            </w:pP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rack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 1U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Dyski twarde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4 x 3TB, SATA III, 7200rpm, cache 64 MB, </w:t>
            </w: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mtbf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 1200 </w:t>
            </w: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tys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 godzin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Obsługa RAID  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0,1, 5, 6, 10, 5+Hot </w:t>
            </w: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spare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 i RAID RECOVERY</w:t>
            </w:r>
          </w:p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Obsługiwani klienci systemów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Windows </w:t>
            </w: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Windows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 7 (32/64-bit), Windows 8 (32/64-bit), Windows Server 2003/2008 R2/2012 Apple Mac OS X Linux &amp; UNIX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pStyle w:val="Akapitzlist"/>
              <w:ind w:left="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Obsługiwane przeglądarki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Microsoft Internet Explorer 10, Mozilla </w:t>
            </w: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Firefox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 8+ ,Apple Safari 4+, Google Chrome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Integracja z Microsoft Active Directory (AD) i </w:t>
            </w:r>
            <w:proofErr w:type="spellStart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Domain</w:t>
            </w:r>
            <w:proofErr w:type="spellEnd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 Controller </w:t>
            </w:r>
            <w:proofErr w:type="spellStart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Support</w:t>
            </w:r>
            <w:proofErr w:type="spellEnd"/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LDAP Server, LDAP Client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Logowanie użytkowników domeny poprzez CIFS/SMB, AFP, FTP, and File Station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Import/export kont użytkowników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Zarządzanie mechanizmem : </w:t>
            </w:r>
            <w:proofErr w:type="spellStart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quota</w:t>
            </w:r>
            <w:proofErr w:type="spellEnd"/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Lokalna kontrola dostępu użytkowników dla CIFS, AFP, FTP, and </w:t>
            </w:r>
            <w:proofErr w:type="spellStart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WebDAV</w:t>
            </w:r>
            <w:proofErr w:type="spellEnd"/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Obsługa uprawnień dla </w:t>
            </w:r>
            <w:proofErr w:type="spellStart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podfolderów</w:t>
            </w:r>
            <w:proofErr w:type="spellEnd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  for CIFS/SMB, AFP, FTP, and File Station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Obsługa protokołów: CIFS/SMB, AFP (v3.3), NFS(v3), FTP, FTPS, SFTP, TFTP, HTTP(S), Telnet, SSH, </w:t>
            </w:r>
            <w:proofErr w:type="spellStart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iSCSI</w:t>
            </w:r>
            <w:proofErr w:type="spellEnd"/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, SNMP, SMTP, and SMSC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Zarządzanie poprzez Web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 xml:space="preserve">Wbudowany serwer Web, Ftp, DHCP, VPN, 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b/>
                <w:sz w:val="20"/>
                <w:szCs w:val="20"/>
              </w:rPr>
              <w:t>Certyfikaty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3FBB" w:rsidRPr="00424E74" w:rsidRDefault="001C3FBB" w:rsidP="001C3FBB">
            <w:pPr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424E74">
              <w:rPr>
                <w:rFonts w:ascii="Arial" w:eastAsia="Calibri" w:hAnsi="Arial" w:cs="Arial"/>
                <w:color w:val="000000"/>
                <w:sz w:val="20"/>
                <w:szCs w:val="20"/>
              </w:rPr>
              <w:t>Sprzęt musi posiadać deklarację CE (dokument załączyć do oferty)</w:t>
            </w:r>
          </w:p>
          <w:p w:rsidR="001C3FBB" w:rsidRDefault="001C3FBB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4F0890" w:rsidRPr="00477FB2" w:rsidRDefault="004F0890" w:rsidP="004F089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Raport z testu wydajności </w:t>
            </w: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PassMark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 dostępny na stronie http://www.cpubenchmark.net/cpu_list.php potwierdzający osiągniecie przez oferowany procesor wartość </w:t>
            </w: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Average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 CPU Mark minimum 2646 punktów (kolumna </w:t>
            </w:r>
            <w:proofErr w:type="spellStart"/>
            <w:r w:rsidRPr="00477FB2">
              <w:rPr>
                <w:rFonts w:ascii="Arial" w:eastAsia="Calibri" w:hAnsi="Arial" w:cs="Arial"/>
                <w:sz w:val="20"/>
                <w:szCs w:val="20"/>
              </w:rPr>
              <w:t>Passmark</w:t>
            </w:r>
            <w:proofErr w:type="spellEnd"/>
            <w:r w:rsidRPr="00477FB2">
              <w:rPr>
                <w:rFonts w:ascii="Arial" w:eastAsia="Calibri" w:hAnsi="Arial" w:cs="Arial"/>
                <w:sz w:val="20"/>
                <w:szCs w:val="20"/>
              </w:rPr>
              <w:t xml:space="preserve"> CP Mark) każdy. Dopuszcza się wydruk lub „zrzut ekranu” ze strony internetowej </w:t>
            </w:r>
            <w:hyperlink r:id="rId12" w:history="1">
              <w:r w:rsidRPr="00477FB2">
                <w:rPr>
                  <w:rStyle w:val="Hipercze"/>
                  <w:rFonts w:ascii="Arial" w:eastAsia="Calibri" w:hAnsi="Arial" w:cs="Arial"/>
                  <w:bCs/>
                  <w:sz w:val="22"/>
                  <w:szCs w:val="22"/>
                </w:rPr>
                <w:t>http://www.cpubenchmark.net/cpu_list.php</w:t>
              </w:r>
            </w:hyperlink>
            <w:r w:rsidRPr="00477FB2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4F0890" w:rsidRDefault="004F0890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4F0890" w:rsidRDefault="004F0890" w:rsidP="004F0890">
      <w:pPr>
        <w:tabs>
          <w:tab w:val="left" w:pos="0"/>
        </w:tabs>
        <w:spacing w:line="200" w:lineRule="atLeast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F0890" w:rsidRPr="004F0890" w:rsidRDefault="004F0890" w:rsidP="004F0890">
      <w:pPr>
        <w:tabs>
          <w:tab w:val="left" w:pos="0"/>
        </w:tabs>
        <w:spacing w:line="200" w:lineRule="atLeast"/>
        <w:jc w:val="center"/>
        <w:rPr>
          <w:rFonts w:ascii="Arial" w:hAnsi="Arial" w:cs="Arial"/>
          <w:sz w:val="22"/>
          <w:szCs w:val="22"/>
          <w:u w:val="single"/>
        </w:rPr>
      </w:pPr>
      <w:r w:rsidRPr="004F0890">
        <w:rPr>
          <w:rFonts w:ascii="Arial" w:hAnsi="Arial" w:cs="Arial"/>
          <w:b/>
          <w:sz w:val="22"/>
          <w:szCs w:val="22"/>
          <w:u w:val="single"/>
        </w:rPr>
        <w:t>Część 3</w:t>
      </w:r>
    </w:p>
    <w:p w:rsidR="004F0890" w:rsidRPr="00477FB2" w:rsidRDefault="004F0890" w:rsidP="004F0890">
      <w:pPr>
        <w:jc w:val="both"/>
        <w:rPr>
          <w:rFonts w:ascii="Arial" w:hAnsi="Arial" w:cs="Arial"/>
          <w:sz w:val="22"/>
          <w:szCs w:val="22"/>
        </w:rPr>
      </w:pPr>
    </w:p>
    <w:p w:rsidR="004F0890" w:rsidRPr="001C52B8" w:rsidRDefault="004F0890" w:rsidP="004F0890">
      <w:pPr>
        <w:pStyle w:val="Nagwek4"/>
        <w:rPr>
          <w:rFonts w:ascii="Arial" w:hAnsi="Arial" w:cs="Arial"/>
          <w:b/>
          <w:i w:val="0"/>
          <w:color w:val="auto"/>
        </w:rPr>
      </w:pPr>
      <w:r w:rsidRPr="001C52B8">
        <w:rPr>
          <w:rFonts w:ascii="Arial" w:hAnsi="Arial" w:cs="Arial"/>
          <w:b/>
          <w:i w:val="0"/>
          <w:color w:val="auto"/>
        </w:rPr>
        <w:t>Stacje robocze – 2 szt.</w:t>
      </w:r>
    </w:p>
    <w:p w:rsidR="004F0890" w:rsidRDefault="004F0890" w:rsidP="004F0890">
      <w:pPr>
        <w:jc w:val="both"/>
        <w:rPr>
          <w:rFonts w:ascii="Arial" w:eastAsia="Segoe UI" w:hAnsi="Arial" w:cs="Arial"/>
          <w:b/>
          <w:bCs/>
          <w:sz w:val="22"/>
          <w:szCs w:val="22"/>
        </w:rPr>
      </w:pPr>
    </w:p>
    <w:p w:rsidR="004F0890" w:rsidRPr="00477FB2" w:rsidRDefault="004F0890" w:rsidP="004F0890">
      <w:pPr>
        <w:jc w:val="both"/>
        <w:rPr>
          <w:rFonts w:ascii="Arial" w:hAnsi="Arial" w:cs="Arial"/>
          <w:sz w:val="22"/>
          <w:szCs w:val="22"/>
        </w:rPr>
      </w:pPr>
      <w:r w:rsidRPr="00477FB2">
        <w:rPr>
          <w:rFonts w:ascii="Arial" w:eastAsia="Segoe UI" w:hAnsi="Arial" w:cs="Arial"/>
          <w:b/>
          <w:bCs/>
          <w:sz w:val="22"/>
          <w:szCs w:val="22"/>
        </w:rPr>
        <w:t>......................................................................................</w:t>
      </w:r>
    </w:p>
    <w:p w:rsidR="004F0890" w:rsidRDefault="004F0890" w:rsidP="004F0890">
      <w:pPr>
        <w:shd w:val="clear" w:color="auto" w:fill="FFFFFF"/>
        <w:tabs>
          <w:tab w:val="left" w:leader="dot" w:pos="3542"/>
        </w:tabs>
        <w:spacing w:before="14" w:line="200" w:lineRule="atLeast"/>
        <w:jc w:val="both"/>
        <w:rPr>
          <w:rFonts w:ascii="Arial" w:eastAsia="Segoe UI" w:hAnsi="Arial" w:cs="Arial"/>
          <w:sz w:val="18"/>
          <w:szCs w:val="18"/>
        </w:rPr>
      </w:pPr>
      <w:r w:rsidRPr="00477FB2">
        <w:rPr>
          <w:rFonts w:ascii="Arial" w:eastAsia="Segoe UI" w:hAnsi="Arial" w:cs="Arial"/>
          <w:sz w:val="18"/>
          <w:szCs w:val="18"/>
        </w:rPr>
        <w:t xml:space="preserve">          nazwa producenta, model i symbol oferowanego sprzętu</w:t>
      </w:r>
    </w:p>
    <w:p w:rsidR="004F0890" w:rsidRPr="00477FB2" w:rsidRDefault="004F0890" w:rsidP="004F0890">
      <w:pPr>
        <w:shd w:val="clear" w:color="auto" w:fill="FFFFFF"/>
        <w:tabs>
          <w:tab w:val="left" w:leader="dot" w:pos="3542"/>
        </w:tabs>
        <w:spacing w:before="14" w:line="200" w:lineRule="atLeast"/>
        <w:jc w:val="both"/>
        <w:rPr>
          <w:rFonts w:ascii="Arial" w:eastAsia="Segoe UI" w:hAnsi="Arial" w:cs="Arial"/>
          <w:b/>
          <w:bCs/>
          <w:sz w:val="22"/>
          <w:szCs w:val="22"/>
        </w:rPr>
      </w:pPr>
    </w:p>
    <w:tbl>
      <w:tblPr>
        <w:tblW w:w="96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4008"/>
        <w:gridCol w:w="1267"/>
        <w:gridCol w:w="2545"/>
      </w:tblGrid>
      <w:tr w:rsidR="004F0890" w:rsidTr="004F0890"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pStyle w:val="Zawartotabeli"/>
              <w:snapToGrid w:val="0"/>
              <w:spacing w:line="200" w:lineRule="atLeast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WYMAGANIA</w:t>
            </w:r>
          </w:p>
        </w:tc>
        <w:tc>
          <w:tcPr>
            <w:tcW w:w="4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MINIMALNE</w:t>
            </w:r>
          </w:p>
        </w:tc>
        <w:tc>
          <w:tcPr>
            <w:tcW w:w="1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CZY W/W URZĄDZENIE SPEŁNIA WYMAGANIA TAK/NIE</w:t>
            </w:r>
          </w:p>
        </w:tc>
        <w:tc>
          <w:tcPr>
            <w:tcW w:w="2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OFEROWANE</w:t>
            </w: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Zastosowanie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Komputer będzie wykorzystywany dla potrzeb aplikacji biurowych, aplikacji edukacyjnych, aplikacji obliczeniowych, dostępu do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internetu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oraz poczty elektronicznej, jako lokalna baza danych, stacja programistyczna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Procesor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477FB2">
              <w:rPr>
                <w:rFonts w:ascii="Arial" w:hAnsi="Arial" w:cs="Arial"/>
                <w:bCs/>
                <w:color w:val="000000"/>
                <w:sz w:val="20"/>
              </w:rPr>
              <w:t xml:space="preserve">osiągający w teście </w:t>
            </w:r>
            <w:proofErr w:type="spellStart"/>
            <w:r w:rsidRPr="00477FB2">
              <w:rPr>
                <w:rFonts w:ascii="Arial" w:hAnsi="Arial" w:cs="Arial"/>
                <w:bCs/>
                <w:color w:val="000000"/>
                <w:sz w:val="20"/>
              </w:rPr>
              <w:t>PassMark</w:t>
            </w:r>
            <w:proofErr w:type="spellEnd"/>
            <w:r w:rsidRPr="00477FB2">
              <w:rPr>
                <w:rFonts w:ascii="Arial" w:hAnsi="Arial" w:cs="Arial"/>
                <w:bCs/>
                <w:color w:val="000000"/>
                <w:sz w:val="20"/>
              </w:rPr>
              <w:t xml:space="preserve"> CPU Mark wynik min. 9900 punktów na dzień 14.09.2015r. (wyniki ze strony </w:t>
            </w:r>
            <w:hyperlink r:id="rId13" w:history="1">
              <w:r w:rsidRPr="00477FB2">
                <w:rPr>
                  <w:rStyle w:val="Hipercze"/>
                  <w:rFonts w:ascii="Arial" w:hAnsi="Arial" w:cs="Arial"/>
                  <w:bCs/>
                </w:rPr>
                <w:t>http://www.cpubenchmark.net/cpu_list.php</w:t>
              </w:r>
            </w:hyperlink>
            <w:r w:rsidRPr="00477FB2">
              <w:rPr>
                <w:rFonts w:ascii="Arial" w:hAnsi="Arial" w:cs="Arial"/>
                <w:bCs/>
                <w:color w:val="000000"/>
                <w:sz w:val="20"/>
              </w:rPr>
              <w:t xml:space="preserve"> z danego dnia dostępne są u Zamawiającego)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Zamawiający zastrzega sobie, iż w celu sprawdzenia poprawności przeprowadzenia testu może zażądać od wyłonionego Wykonawcy dostarczenia oprogramowania testującego, komputera do testu oraz dokładnego opisu metodyki przeprowadzonego testu wraz z wynikami w celu ich sprawdzenia w terminie nie dłuższym niż 10 dni od otrzymania zawiadomienia od Zamawiającego 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Pamięć RAM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16GB DDR3 1600MHz non-ECC – 2x8GB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Wewnętrzna pamięć masowa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Min. 1TB SATA3 7200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obr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>./min oraz 120GB SATA3 SSD jako dysk systemowy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Karta graficzna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u w:val="single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Grafika zintegrowana z procesorem powinna umożliwiać pracę dwumonitorową  </w:t>
            </w:r>
            <w:r w:rsidRPr="00477FB2">
              <w:rPr>
                <w:rFonts w:ascii="Arial" w:hAnsi="Arial" w:cs="Arial"/>
                <w:color w:val="000000"/>
                <w:sz w:val="20"/>
                <w:szCs w:val="20"/>
              </w:rPr>
              <w:t>umożliwiającą wyświetlanie obrazu w rozdzielczości minimum 1920x1080 pikseli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Wyposażenie multimedialne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Min 24-bitowa Karta dźwiękowa zintegrowana z płytą główną, zgodna z High Definition,  wewnętrzny głośnik 2W w obudowie komputera 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Porty słuchawek i mikrofonu na przednim oraz na tylnym panelu obudowy.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ind w:left="360" w:hanging="360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Obudowa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Typu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MiniTower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z obsługą kart PCI Express wyłącznie o pełnym profilu, wyposażona w min. 4 kieszenie: 2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szt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5,25” zewnętrzne i 2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szt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3,5” wewnętrzne,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Obudowa powinna fabrycznie umożliwiać montaż min 2 szt. dysku 3,5” lub dysków 2,5”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Zasilacz o mocy max. 290W pracujący w sieci 230V 50/60Hz prądu zmiennego i efektywności min. 90% przy obciążeniu zasilacza na poziomie 50% oraz o efektywności min. 87% przy obciążeniu zasilacza na poziomie 100%,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Moduł konstrukcji obudowy w jednostce centralnej komputera powinien pozwalać na demontaż kart rozszerzeń, napędu optycznego i 3,5” dysku twardego  bez konieczności użycia narzędzi (wyklucza się użycia wkrętów, śrub motylkowych).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Obudowa w jednostce centralnej musi być otwierana bez konieczności użycia narzędzi (wyklucza się użycie standardowych wkrętów, śrub motylkowych) oraz powinna posiadać czujnik otwarcia obudowy współpracujący z oprogramowaniem zarządzająco – diagnostycznym producenta  komputera. 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Obudowa musi umożliwiać zastosowanie zabezpieczenia fizycznego w postaci linki metalowej (złącze blokady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Kensingtona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>) oraz kłódki (oczko w obudowie do założenia kłódki).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Obudowa musi być wyposażona w zamek szybkiego dostępu który nie wystaje poza obrys obudowy 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Obudowa</w:t>
            </w:r>
            <w:r w:rsidRPr="00477FB2">
              <w:rPr>
                <w:rFonts w:ascii="Arial" w:hAnsi="Arial" w:cs="Arial"/>
                <w:sz w:val="20"/>
              </w:rPr>
              <w:t xml:space="preserve"> </w:t>
            </w:r>
            <w:r w:rsidRPr="00477FB2">
              <w:rPr>
                <w:rFonts w:ascii="Arial" w:hAnsi="Arial" w:cs="Arial"/>
                <w:bCs/>
                <w:sz w:val="20"/>
              </w:rPr>
              <w:t>musi posiadać wbudowany wizualny system diagnostyczny, służący do sygnalizowania i diagnozowania problemów z komputerem i jego komponentami, a w szczególności musi sygnalizować:</w:t>
            </w:r>
          </w:p>
          <w:p w:rsidR="004F0890" w:rsidRPr="00477FB2" w:rsidRDefault="004F0890" w:rsidP="009968E5">
            <w:pPr>
              <w:numPr>
                <w:ilvl w:val="0"/>
                <w:numId w:val="43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uszkodzenie lub brak pamięci RAM</w:t>
            </w:r>
          </w:p>
          <w:p w:rsidR="004F0890" w:rsidRPr="00477FB2" w:rsidRDefault="004F0890" w:rsidP="009968E5">
            <w:pPr>
              <w:numPr>
                <w:ilvl w:val="0"/>
                <w:numId w:val="43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uszkodzenie złączy PCI i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PCIe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>, płyty głównej</w:t>
            </w:r>
          </w:p>
          <w:p w:rsidR="004F0890" w:rsidRPr="00477FB2" w:rsidRDefault="004F0890" w:rsidP="009968E5">
            <w:pPr>
              <w:numPr>
                <w:ilvl w:val="0"/>
                <w:numId w:val="43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uszkodzenie kontrolera Video</w:t>
            </w:r>
          </w:p>
          <w:p w:rsidR="004F0890" w:rsidRPr="00477FB2" w:rsidRDefault="004F0890" w:rsidP="009968E5">
            <w:pPr>
              <w:numPr>
                <w:ilvl w:val="0"/>
                <w:numId w:val="43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uszkodzenie dysku twardego</w:t>
            </w:r>
          </w:p>
          <w:p w:rsidR="004F0890" w:rsidRPr="00477FB2" w:rsidRDefault="004F0890" w:rsidP="009968E5">
            <w:pPr>
              <w:numPr>
                <w:ilvl w:val="0"/>
                <w:numId w:val="43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awarię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BIOS’u</w:t>
            </w:r>
            <w:proofErr w:type="spellEnd"/>
          </w:p>
          <w:p w:rsidR="004F0890" w:rsidRPr="00477FB2" w:rsidRDefault="004F0890" w:rsidP="009968E5">
            <w:pPr>
              <w:numPr>
                <w:ilvl w:val="0"/>
                <w:numId w:val="43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awarię procesora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sz w:val="20"/>
              </w:rPr>
            </w:pPr>
            <w:r w:rsidRPr="00477FB2">
              <w:rPr>
                <w:rFonts w:ascii="Arial" w:hAnsi="Arial" w:cs="Arial"/>
                <w:sz w:val="20"/>
              </w:rPr>
              <w:t>Oferowany system diagnostyczny nie może wykorzystywać minimalnej ilości wolnych slotów wymaganych w specyfikacji,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Każdy komputer powinien być oznaczony niepowtarzalnym numerem seryjnym umieszonym na obudowie, oraz musi być wpisany na stałe w BIOS.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Bezpieczeństwo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Zaimplementowany w BIOS  system diagnostyczny z graficznym interfejsem użytkownika umożliwiający jednoczesne przetestowanie w celu wykrycia usterki zainstalowanych komponentów w oferowanym komputerze bez konieczności uruchamiania systemu operacyjnego. System opatrzony min. o funkcjonalność :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- sprawdzenie Master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Boot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Record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na gotowość do uruchomienia oferowanego systemu operacyjnego,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-  test procesora [ min. cache ]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-  test pamięci,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-  test wentylatora dla procesora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-  test wentylatora dodatkowego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-  test napędu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-  test portów USB  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-  test dysku twardego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-  test podłączonych kabli.</w:t>
            </w:r>
          </w:p>
          <w:p w:rsidR="004F0890" w:rsidRPr="00477FB2" w:rsidRDefault="004F0890" w:rsidP="004F0890">
            <w:pPr>
              <w:jc w:val="both"/>
              <w:rPr>
                <w:rFonts w:ascii="Arial" w:hAnsi="Arial" w:cs="Arial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Obudowa w jednostce centralnej musi posiadać czujnik otwarcia obudowy współpracujący z oprogramowaniem zarządzająco – diagnostycznym producenta  komputera</w:t>
            </w:r>
            <w:r w:rsidRPr="00477FB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Wirtualizacja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sz w:val="20"/>
              </w:rPr>
              <w:t>Sprzętowe wsparcie technologii wirtualizacji realizowane łącznie w procesorze, chipsecie płyty głównej oraz w  BIOS systemu (możliwość włączenia/wyłączenia sprzętowego wsparcia wirtualizacji dla poszczególnych komponentów systemu).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BIOS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BIOS zgodny ze specyfikacją UEFI</w:t>
            </w:r>
          </w:p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Możliwość, bez uruchamiania systemu operacyjnego z dysku twardego komputera lub innych podłączonych do niego urządzeń zewnętrznych odczytania z BIOS informacji o: </w:t>
            </w:r>
          </w:p>
          <w:p w:rsidR="004F0890" w:rsidRPr="00477FB2" w:rsidRDefault="004F0890" w:rsidP="009968E5">
            <w:pPr>
              <w:numPr>
                <w:ilvl w:val="0"/>
                <w:numId w:val="41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wersji BIOS, </w:t>
            </w:r>
          </w:p>
          <w:p w:rsidR="004F0890" w:rsidRPr="00477FB2" w:rsidRDefault="004F0890" w:rsidP="009968E5">
            <w:pPr>
              <w:numPr>
                <w:ilvl w:val="0"/>
                <w:numId w:val="41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nr seryjnym komputera wraz z datą jego wyprodukowania, </w:t>
            </w:r>
          </w:p>
          <w:p w:rsidR="004F0890" w:rsidRPr="00477FB2" w:rsidRDefault="004F0890" w:rsidP="009968E5">
            <w:pPr>
              <w:numPr>
                <w:ilvl w:val="0"/>
                <w:numId w:val="41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ilości i sposobu obłożenia slotów pamięciami RAM, </w:t>
            </w:r>
          </w:p>
          <w:p w:rsidR="004F0890" w:rsidRPr="00477FB2" w:rsidRDefault="004F0890" w:rsidP="009968E5">
            <w:pPr>
              <w:numPr>
                <w:ilvl w:val="0"/>
                <w:numId w:val="41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typie procesora wraz z informacją o ilości rdzeni, wielkości pamięci cache L2 i L3, </w:t>
            </w:r>
          </w:p>
          <w:p w:rsidR="004F0890" w:rsidRPr="00477FB2" w:rsidRDefault="004F0890" w:rsidP="009968E5">
            <w:pPr>
              <w:numPr>
                <w:ilvl w:val="0"/>
                <w:numId w:val="41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pojemności zainstalowanego dysku twardego</w:t>
            </w:r>
          </w:p>
          <w:p w:rsidR="004F0890" w:rsidRPr="00477FB2" w:rsidRDefault="004F0890" w:rsidP="009968E5">
            <w:pPr>
              <w:numPr>
                <w:ilvl w:val="0"/>
                <w:numId w:val="41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rodzajach napędów optycznych</w:t>
            </w:r>
          </w:p>
          <w:p w:rsidR="004F0890" w:rsidRPr="00477FB2" w:rsidRDefault="004F0890" w:rsidP="009968E5">
            <w:pPr>
              <w:numPr>
                <w:ilvl w:val="0"/>
                <w:numId w:val="41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MAC adresie zintegrowanej karty sieciowej</w:t>
            </w:r>
          </w:p>
          <w:p w:rsidR="004F0890" w:rsidRPr="00477FB2" w:rsidRDefault="004F0890" w:rsidP="009968E5">
            <w:pPr>
              <w:numPr>
                <w:ilvl w:val="0"/>
                <w:numId w:val="41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kontrolerze audio</w:t>
            </w:r>
          </w:p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Funkcja blokowania wejścia do  BIOS oraz blokowania startu systemu operacyjnego, (gwarantujący utrzymanie zapisanego hasła nawet w przypadku odłączenia wszystkich źródeł zasilania i podtrzymania BIOS)</w:t>
            </w:r>
          </w:p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Funkcja blokowania/odblokowania BOOT-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owania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stacji roboczej z zewnętrznych urządzeń</w:t>
            </w:r>
          </w:p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Możliwość polegająca na kontrolowaniu urządzeń wykorzystujących magistralę komunikacyjną PCI, bez uruchamiania systemu operacyjnego z dysku twardego komputera lub innych podłączonych do niego urządzeń zewnętrznych. Pod pojęciem kontroli Zamawiający rozumie funkcjonalność polegającą na blokowaniu/odblokowaniu slotów PCI.</w:t>
            </w:r>
          </w:p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Możliwość, bez uruchamiania systemu operacyjnego z dysku twardego komputera lub innych, podłączonych do niego urządzeń zewnętrznych,  ustawienia hasła na poziomie systemu, administratora oraz dysku twardego oraz możliwość ustawienia następujących zależności pomiędzy nimi: brak możliwości zmiany hasła pozwalającego na uruchomienie systemu bez podania hasła administratora.</w:t>
            </w:r>
          </w:p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Musi posiadać możliwość ustawienia zależności pomiędzy hasłem administratora a hasłem systemowy tak, aby nie było możliwe wprowadzenie zmian w BIOS wyłącznie po podaniu hasła systemowego. Funkcja ta ma wymuszać podanie hasła administratora przy próbie zmiany ustawień BIOS w sytuacji, gdy zostało podane hasło systemowe.</w:t>
            </w:r>
          </w:p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Możliwość włączenia/wyłączenia zintegrowanej karty dźwiękowej, karty sieciowej, portu równoległego, portu szeregowego z poziomu BIOS, bez uruchamiania systemu operacyjnego z dysku twardego komputera lub innych, podłączonych do niego, urządzeń zewnętrznych.</w:t>
            </w:r>
          </w:p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Możliwość ustawienia portów USB w trybie „no BOOT”, czyli podczas startu komputer nie wykrywa urządzeń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bootujących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typu USB, natomiast po uruchomieniu systemu operacyjnego porty USB są aktywne.</w:t>
            </w:r>
          </w:p>
          <w:p w:rsidR="004F0890" w:rsidRPr="00477FB2" w:rsidRDefault="004F0890" w:rsidP="009968E5">
            <w:pPr>
              <w:numPr>
                <w:ilvl w:val="0"/>
                <w:numId w:val="40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Możliwość wyłączania portów USB w tym: wszystkich portów, tylko portów znajdujących się na przodzie obudowy, tylko tylnych portów.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Certyfikaty i standardy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9968E5">
            <w:pPr>
              <w:pStyle w:val="Akapitzlist"/>
              <w:numPr>
                <w:ilvl w:val="0"/>
                <w:numId w:val="33"/>
              </w:numPr>
              <w:suppressAutoHyphens w:val="0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Certyfikat ISO9001 dla sprzętu (załączyć dokument potwierdzający spełnianie wymogu)</w:t>
            </w:r>
          </w:p>
          <w:p w:rsidR="004F0890" w:rsidRPr="00477FB2" w:rsidRDefault="004F0890" w:rsidP="009968E5">
            <w:pPr>
              <w:pStyle w:val="Akapitzlist"/>
              <w:numPr>
                <w:ilvl w:val="0"/>
                <w:numId w:val="33"/>
              </w:numPr>
              <w:suppressAutoHyphens w:val="0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Deklaracja zgodności CE (załączyć do oferty)</w:t>
            </w:r>
          </w:p>
          <w:p w:rsidR="004F0890" w:rsidRPr="00287EE4" w:rsidRDefault="004F0890" w:rsidP="009968E5">
            <w:pPr>
              <w:pStyle w:val="Akapitzlist"/>
              <w:numPr>
                <w:ilvl w:val="0"/>
                <w:numId w:val="33"/>
              </w:numPr>
              <w:suppressAutoHyphens w:val="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77FB2">
              <w:rPr>
                <w:rFonts w:ascii="Arial" w:hAnsi="Arial" w:cs="Arial"/>
                <w:sz w:val="20"/>
              </w:rPr>
              <w:t xml:space="preserve">Potwierdzenie spełnienia kryteriów środowiskowych, w tym zgodności z dyrektywą </w:t>
            </w:r>
            <w:proofErr w:type="spellStart"/>
            <w:r w:rsidRPr="00477FB2">
              <w:rPr>
                <w:rFonts w:ascii="Arial" w:hAnsi="Arial" w:cs="Arial"/>
                <w:sz w:val="20"/>
              </w:rPr>
              <w:t>RoHS</w:t>
            </w:r>
            <w:proofErr w:type="spellEnd"/>
            <w:r w:rsidRPr="00477FB2">
              <w:rPr>
                <w:rFonts w:ascii="Arial" w:hAnsi="Arial" w:cs="Arial"/>
                <w:sz w:val="20"/>
              </w:rPr>
              <w:t xml:space="preserve"> Unii Europejskiej o eliminacji substancji niebezpiecznych w postaci oświadczenia producenta jednostki (wg wytycznych Krajowej Agencji Poszanowania Energii S.A., zawartych w dokumencie „Opracowanie propozycji kryteriów środowiskowych dla produktów zużywających energię możliwych do wykorzystania przy formułowaniu specyfikacji na potrzeby zamówień publicznych”, pkt. 3.4.2.1; dokument z grudnia 2006), w szczególności zgodności z </w:t>
            </w:r>
            <w:r w:rsidRPr="00287EE4">
              <w:rPr>
                <w:rFonts w:ascii="Arial" w:hAnsi="Arial" w:cs="Arial"/>
                <w:bCs/>
                <w:sz w:val="20"/>
                <w:szCs w:val="20"/>
              </w:rPr>
              <w:t>normą ISO 1043-4 dla płyty głównej oraz elementów wykonanych z tworzyw sztucznych o masie powyżej 25 gram</w:t>
            </w:r>
          </w:p>
          <w:p w:rsidR="004F0890" w:rsidRPr="00287EE4" w:rsidRDefault="004F0890" w:rsidP="009968E5">
            <w:pPr>
              <w:pStyle w:val="Akapitzlist"/>
              <w:numPr>
                <w:ilvl w:val="0"/>
                <w:numId w:val="33"/>
              </w:numPr>
              <w:suppressAutoHyphens w:val="0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87EE4">
              <w:rPr>
                <w:rFonts w:ascii="Arial" w:hAnsi="Arial" w:cs="Arial"/>
                <w:bCs/>
                <w:sz w:val="20"/>
                <w:szCs w:val="20"/>
              </w:rPr>
              <w:t>Komputer musi spełniać wymogi normy Energy Star 5.0</w:t>
            </w:r>
          </w:p>
          <w:p w:rsidR="004F0890" w:rsidRPr="00287EE4" w:rsidRDefault="004F0890" w:rsidP="009968E5">
            <w:pPr>
              <w:pStyle w:val="Akapitzlist"/>
              <w:numPr>
                <w:ilvl w:val="0"/>
                <w:numId w:val="33"/>
              </w:numPr>
              <w:suppressAutoHyphens w:val="0"/>
              <w:spacing w:after="160" w:line="259" w:lineRule="auto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87EE4">
              <w:rPr>
                <w:rFonts w:ascii="Arial" w:hAnsi="Arial" w:cs="Arial"/>
                <w:bCs/>
                <w:sz w:val="20"/>
                <w:szCs w:val="20"/>
              </w:rPr>
              <w:t xml:space="preserve">Wymagany wpis dotyczący oferowanego komputera w  internetowym katalogu </w:t>
            </w:r>
            <w:hyperlink r:id="rId14" w:history="1">
              <w:r w:rsidRPr="00287EE4">
                <w:rPr>
                  <w:rStyle w:val="Hipercze"/>
                  <w:rFonts w:ascii="Arial" w:hAnsi="Arial" w:cs="Arial"/>
                  <w:bCs/>
                  <w:sz w:val="20"/>
                  <w:szCs w:val="20"/>
                </w:rPr>
                <w:t>http://www.eu-energystar.org</w:t>
              </w:r>
            </w:hyperlink>
            <w:r w:rsidRPr="00287EE4">
              <w:rPr>
                <w:rFonts w:ascii="Arial" w:hAnsi="Arial" w:cs="Arial"/>
                <w:bCs/>
                <w:sz w:val="20"/>
                <w:szCs w:val="20"/>
              </w:rPr>
              <w:t xml:space="preserve"> lub </w:t>
            </w:r>
            <w:hyperlink r:id="rId15" w:history="1">
              <w:r w:rsidRPr="00287EE4">
                <w:rPr>
                  <w:rStyle w:val="Hipercze"/>
                  <w:rFonts w:ascii="Arial" w:hAnsi="Arial" w:cs="Arial"/>
                  <w:bCs/>
                  <w:sz w:val="20"/>
                  <w:szCs w:val="20"/>
                </w:rPr>
                <w:t>http://www.energystar.gov</w:t>
              </w:r>
            </w:hyperlink>
            <w:r w:rsidRPr="00287EE4">
              <w:rPr>
                <w:rFonts w:ascii="Arial" w:hAnsi="Arial" w:cs="Arial"/>
                <w:bCs/>
                <w:sz w:val="20"/>
                <w:szCs w:val="20"/>
              </w:rPr>
              <w:t xml:space="preserve"> – dopuszcza się wydruk ze strony internetowej</w:t>
            </w:r>
          </w:p>
          <w:p w:rsidR="004F0890" w:rsidRPr="00477FB2" w:rsidRDefault="004F0890" w:rsidP="009968E5">
            <w:pPr>
              <w:pStyle w:val="Akapitzlist"/>
              <w:numPr>
                <w:ilvl w:val="0"/>
                <w:numId w:val="33"/>
              </w:numPr>
              <w:suppressAutoHyphens w:val="0"/>
              <w:spacing w:after="160" w:line="259" w:lineRule="auto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287EE4">
              <w:rPr>
                <w:rFonts w:ascii="Arial" w:hAnsi="Arial" w:cs="Arial"/>
                <w:bCs/>
                <w:sz w:val="20"/>
                <w:szCs w:val="20"/>
              </w:rPr>
              <w:t xml:space="preserve">Raport z testu wydajności </w:t>
            </w:r>
            <w:proofErr w:type="spellStart"/>
            <w:r w:rsidRPr="00287EE4">
              <w:rPr>
                <w:rFonts w:ascii="Arial" w:hAnsi="Arial" w:cs="Arial"/>
                <w:bCs/>
                <w:sz w:val="20"/>
                <w:szCs w:val="20"/>
              </w:rPr>
              <w:t>PassMark</w:t>
            </w:r>
            <w:proofErr w:type="spellEnd"/>
            <w:r w:rsidRPr="00287EE4">
              <w:rPr>
                <w:rFonts w:ascii="Arial" w:hAnsi="Arial" w:cs="Arial"/>
                <w:bCs/>
                <w:sz w:val="20"/>
                <w:szCs w:val="20"/>
              </w:rPr>
              <w:t xml:space="preserve"> dostępny na stronie http://www.cpubenchmark.net/cpu_list.php potwierdzający osiągniecie przez oferowany procesor wartość </w:t>
            </w:r>
            <w:proofErr w:type="spellStart"/>
            <w:r w:rsidRPr="00287EE4">
              <w:rPr>
                <w:rFonts w:ascii="Arial" w:hAnsi="Arial" w:cs="Arial"/>
                <w:bCs/>
                <w:sz w:val="20"/>
                <w:szCs w:val="20"/>
              </w:rPr>
              <w:t>Average</w:t>
            </w:r>
            <w:proofErr w:type="spellEnd"/>
            <w:r w:rsidRPr="00287EE4">
              <w:rPr>
                <w:rFonts w:ascii="Arial" w:hAnsi="Arial" w:cs="Arial"/>
                <w:bCs/>
                <w:sz w:val="20"/>
                <w:szCs w:val="20"/>
              </w:rPr>
              <w:t xml:space="preserve"> CPU Mark minimum 9900 punktów (kolumna </w:t>
            </w:r>
            <w:proofErr w:type="spellStart"/>
            <w:r w:rsidRPr="00287EE4">
              <w:rPr>
                <w:rFonts w:ascii="Arial" w:hAnsi="Arial" w:cs="Arial"/>
                <w:bCs/>
                <w:sz w:val="20"/>
                <w:szCs w:val="20"/>
              </w:rPr>
              <w:t>Passmark</w:t>
            </w:r>
            <w:proofErr w:type="spellEnd"/>
            <w:r w:rsidRPr="00287EE4">
              <w:rPr>
                <w:rFonts w:ascii="Arial" w:hAnsi="Arial" w:cs="Arial"/>
                <w:bCs/>
                <w:sz w:val="20"/>
                <w:szCs w:val="20"/>
              </w:rPr>
              <w:t xml:space="preserve"> CP Mark) każdy. Dopuszcza się wydruk </w:t>
            </w:r>
            <w:r w:rsidRPr="00477FB2">
              <w:rPr>
                <w:rFonts w:ascii="Arial" w:hAnsi="Arial" w:cs="Arial"/>
                <w:bCs/>
                <w:sz w:val="20"/>
              </w:rPr>
              <w:t xml:space="preserve">lub „zrzut ekranu” ze strony internetowej </w:t>
            </w:r>
            <w:hyperlink r:id="rId16" w:history="1">
              <w:hyperlink r:id="rId17" w:history="1">
                <w:r w:rsidRPr="00477FB2">
                  <w:rPr>
                    <w:rStyle w:val="Hipercze"/>
                    <w:rFonts w:ascii="Arial" w:hAnsi="Arial" w:cs="Arial"/>
                    <w:bCs/>
                  </w:rPr>
                  <w:t>http://www.cpubenchmark.net/cpu_list.php</w:t>
                </w:r>
              </w:hyperlink>
            </w:hyperlink>
            <w:r w:rsidRPr="00477FB2">
              <w:rPr>
                <w:rFonts w:ascii="Arial" w:hAnsi="Arial" w:cs="Arial"/>
                <w:bCs/>
                <w:sz w:val="20"/>
              </w:rPr>
              <w:t>.</w:t>
            </w:r>
          </w:p>
          <w:p w:rsidR="004F0890" w:rsidRPr="00477FB2" w:rsidRDefault="004F0890" w:rsidP="009968E5">
            <w:pPr>
              <w:pStyle w:val="Akapitzlist"/>
              <w:numPr>
                <w:ilvl w:val="0"/>
                <w:numId w:val="33"/>
              </w:numPr>
              <w:suppressAutoHyphens w:val="0"/>
              <w:spacing w:after="160" w:line="259" w:lineRule="auto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Potwierdzenie kompatybilności komputera na daną platformę systemową (wydruk ze strony)</w:t>
            </w:r>
          </w:p>
          <w:p w:rsidR="004F0890" w:rsidRPr="00477FB2" w:rsidRDefault="004F0890" w:rsidP="009968E5">
            <w:pPr>
              <w:pStyle w:val="Akapitzlist"/>
              <w:numPr>
                <w:ilvl w:val="0"/>
                <w:numId w:val="33"/>
              </w:numPr>
              <w:suppressAutoHyphens w:val="0"/>
              <w:spacing w:after="160" w:line="259" w:lineRule="auto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Głośność jednostki centralnej mierzona zgodnie z normą ISO 7779 oraz wykazana zgodnie z normą ISO 9296 w pozycji obserwatora w trybie pracy dysku twardego (IDLE) wynosząca maksymalnie 22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dB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(załączyć oświadczenie producenta)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4F0890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F0890" w:rsidRPr="00477FB2" w:rsidRDefault="004F0890" w:rsidP="004F0890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Wymagania dodatkowe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Licencja Windows 8.1 Professional z możliwością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downgrade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do Windows 7 Professional oraz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upgrade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do Windows 10 Professional + nośniki do wymaganych licencji. System winien być poprawnie zainstalowany wraz ze wszystkimi wymaganymi sterownikami.</w:t>
            </w:r>
          </w:p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Wbudowane porty: </w:t>
            </w:r>
          </w:p>
          <w:p w:rsidR="004F0890" w:rsidRPr="00477FB2" w:rsidRDefault="004F0890" w:rsidP="009968E5">
            <w:pPr>
              <w:numPr>
                <w:ilvl w:val="1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min. 1 x RS232,</w:t>
            </w:r>
          </w:p>
          <w:p w:rsidR="004F0890" w:rsidRPr="00477FB2" w:rsidRDefault="004F0890" w:rsidP="009968E5">
            <w:pPr>
              <w:numPr>
                <w:ilvl w:val="1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min. 1 x VGA,</w:t>
            </w:r>
          </w:p>
          <w:p w:rsidR="004F0890" w:rsidRPr="00477FB2" w:rsidRDefault="004F0890" w:rsidP="009968E5">
            <w:pPr>
              <w:numPr>
                <w:ilvl w:val="1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min. 2 x PS/2, </w:t>
            </w:r>
          </w:p>
          <w:p w:rsidR="004F0890" w:rsidRPr="00477FB2" w:rsidRDefault="004F0890" w:rsidP="009968E5">
            <w:pPr>
              <w:numPr>
                <w:ilvl w:val="1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min. 2 x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DisplayPort</w:t>
            </w:r>
            <w:proofErr w:type="spellEnd"/>
          </w:p>
          <w:p w:rsidR="004F0890" w:rsidRPr="00477FB2" w:rsidRDefault="004F0890" w:rsidP="009968E5">
            <w:pPr>
              <w:numPr>
                <w:ilvl w:val="1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min. 6 portów USB wyprowadzonych na zewnątrz komputera w tym min 3 porty USB 3.0; min. 4 porty z przodu obudowy w tym min. 2 porty USB 3.0 i wymagana ilość i rozmieszczenie (na zewnątrz obudowy komputera) portów USB nie może być osiągnięta w wyniku stosowania konwerterów, przejściówek itp.</w:t>
            </w:r>
          </w:p>
          <w:p w:rsidR="004F0890" w:rsidRPr="00477FB2" w:rsidRDefault="004F0890" w:rsidP="009968E5">
            <w:pPr>
              <w:numPr>
                <w:ilvl w:val="1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porty słuchawek i mikrofonu na przednim oraz tylnym panelu obudowy. </w:t>
            </w:r>
          </w:p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Karta sieciowa 10/100/1000 Ethernet RJ 45, zintegrowana z płytą główną, wspierająca obsługę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WoL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(funkcja włączana przez użytkownika), PXE 2.1, </w:t>
            </w:r>
          </w:p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Płyta główna zaprojektowana i wyprodukowana na zlecenie producenta komputera, trwale oznaczona na etapie produkcji logiem producenta oferowanej jednostki  dedykowana dla danego urządzenia; wyposażona w : </w:t>
            </w:r>
          </w:p>
          <w:p w:rsidR="004F0890" w:rsidRPr="00477FB2" w:rsidRDefault="004F0890" w:rsidP="009968E5">
            <w:pPr>
              <w:pStyle w:val="Akapitzlist"/>
              <w:numPr>
                <w:ilvl w:val="1"/>
                <w:numId w:val="42"/>
              </w:numPr>
              <w:suppressAutoHyphens w:val="0"/>
              <w:spacing w:after="160" w:line="259" w:lineRule="auto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min 2 złącza PCI Express x16 Gen.3 w tym jedno elektrycznie jak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PCIe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x4, </w:t>
            </w:r>
          </w:p>
          <w:p w:rsidR="004F0890" w:rsidRPr="00477FB2" w:rsidRDefault="004F0890" w:rsidP="009968E5">
            <w:pPr>
              <w:pStyle w:val="Akapitzlist"/>
              <w:numPr>
                <w:ilvl w:val="1"/>
                <w:numId w:val="42"/>
              </w:numPr>
              <w:suppressAutoHyphens w:val="0"/>
              <w:spacing w:after="160" w:line="259" w:lineRule="auto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min. 1 wolne złącze PCI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Epress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x 1</w:t>
            </w:r>
          </w:p>
          <w:p w:rsidR="004F0890" w:rsidRPr="00477FB2" w:rsidRDefault="004F0890" w:rsidP="009968E5">
            <w:pPr>
              <w:pStyle w:val="Akapitzlist"/>
              <w:numPr>
                <w:ilvl w:val="1"/>
                <w:numId w:val="42"/>
              </w:numPr>
              <w:suppressAutoHyphens w:val="0"/>
              <w:spacing w:after="160" w:line="259" w:lineRule="auto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min. 1 wolne złącze PCI 32bit</w:t>
            </w:r>
          </w:p>
          <w:p w:rsidR="004F0890" w:rsidRPr="00477FB2" w:rsidRDefault="004F0890" w:rsidP="009968E5">
            <w:pPr>
              <w:pStyle w:val="Akapitzlist"/>
              <w:numPr>
                <w:ilvl w:val="1"/>
                <w:numId w:val="42"/>
              </w:numPr>
              <w:suppressAutoHyphens w:val="0"/>
              <w:spacing w:after="160" w:line="259" w:lineRule="auto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min. 4 złącza DIMM z obsługą do 32GB DDR3 pamięci RAM, </w:t>
            </w:r>
          </w:p>
          <w:p w:rsidR="004F0890" w:rsidRPr="00477FB2" w:rsidRDefault="004F0890" w:rsidP="009968E5">
            <w:pPr>
              <w:pStyle w:val="Akapitzlist"/>
              <w:numPr>
                <w:ilvl w:val="1"/>
                <w:numId w:val="42"/>
              </w:numPr>
              <w:suppressAutoHyphens w:val="0"/>
              <w:spacing w:after="160" w:line="259" w:lineRule="auto"/>
              <w:contextualSpacing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min. 4  złącza SATA w tym 2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szt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SATA 3.0;</w:t>
            </w:r>
          </w:p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jc w:val="both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Zintegrowany z płytą główną kontroler RAID 0 i RAID 1     </w:t>
            </w:r>
          </w:p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Klawiatura USB w układzie polski programisty</w:t>
            </w:r>
          </w:p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Mysz laserowa USB z sześcioma klawiszami oraz rolką (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scroll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>) min 1000dpi</w:t>
            </w:r>
          </w:p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Nagrywarka DVD +/-RW wraz z oprogramowaniem do nagrywania i odtwarzania płyt</w:t>
            </w:r>
          </w:p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Dołączony nośnik ze sterownikami</w:t>
            </w:r>
          </w:p>
          <w:p w:rsidR="004F0890" w:rsidRPr="00477FB2" w:rsidRDefault="004F0890" w:rsidP="009968E5">
            <w:pPr>
              <w:numPr>
                <w:ilvl w:val="0"/>
                <w:numId w:val="42"/>
              </w:numPr>
              <w:suppressAutoHyphens w:val="0"/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Opakowanie musi być wykonane z materiałów podlegających powtórnemu przetworzeniu.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287EE4" w:rsidRDefault="00287EE4" w:rsidP="004F0890">
      <w:pPr>
        <w:pStyle w:val="Nagwek4"/>
        <w:rPr>
          <w:rFonts w:ascii="Arial" w:hAnsi="Arial" w:cs="Arial"/>
          <w:b/>
          <w:i w:val="0"/>
          <w:color w:val="auto"/>
        </w:rPr>
      </w:pPr>
    </w:p>
    <w:p w:rsidR="004F0890" w:rsidRPr="001C52B8" w:rsidRDefault="00287EE4" w:rsidP="004F0890">
      <w:pPr>
        <w:pStyle w:val="Nagwek4"/>
        <w:rPr>
          <w:rFonts w:ascii="Arial" w:hAnsi="Arial" w:cs="Arial"/>
          <w:b/>
          <w:i w:val="0"/>
          <w:color w:val="auto"/>
        </w:rPr>
      </w:pPr>
      <w:r>
        <w:rPr>
          <w:rFonts w:ascii="Arial" w:hAnsi="Arial" w:cs="Arial"/>
          <w:b/>
          <w:i w:val="0"/>
          <w:color w:val="auto"/>
        </w:rPr>
        <w:t>M</w:t>
      </w:r>
      <w:r w:rsidR="004F0890" w:rsidRPr="001C52B8">
        <w:rPr>
          <w:rFonts w:ascii="Arial" w:hAnsi="Arial" w:cs="Arial"/>
          <w:b/>
          <w:i w:val="0"/>
          <w:color w:val="auto"/>
        </w:rPr>
        <w:t>onitory – szt. 4</w:t>
      </w:r>
    </w:p>
    <w:p w:rsidR="004F0890" w:rsidRDefault="004F0890" w:rsidP="004F0890">
      <w:pPr>
        <w:rPr>
          <w:lang w:eastAsia="en-US"/>
        </w:rPr>
      </w:pPr>
    </w:p>
    <w:p w:rsidR="004F0890" w:rsidRPr="00477FB2" w:rsidRDefault="004F0890" w:rsidP="004F0890">
      <w:pPr>
        <w:jc w:val="both"/>
        <w:rPr>
          <w:rFonts w:ascii="Arial" w:hAnsi="Arial" w:cs="Arial"/>
          <w:sz w:val="22"/>
          <w:szCs w:val="22"/>
        </w:rPr>
      </w:pPr>
      <w:r w:rsidRPr="00477FB2">
        <w:rPr>
          <w:rFonts w:ascii="Arial" w:eastAsia="Segoe UI" w:hAnsi="Arial" w:cs="Arial"/>
          <w:b/>
          <w:bCs/>
          <w:sz w:val="22"/>
          <w:szCs w:val="22"/>
        </w:rPr>
        <w:t>......................................................................................</w:t>
      </w:r>
    </w:p>
    <w:p w:rsidR="004F0890" w:rsidRPr="00477FB2" w:rsidRDefault="004F0890" w:rsidP="004F0890">
      <w:pPr>
        <w:shd w:val="clear" w:color="auto" w:fill="FFFFFF"/>
        <w:tabs>
          <w:tab w:val="left" w:leader="dot" w:pos="3542"/>
        </w:tabs>
        <w:spacing w:before="14" w:line="200" w:lineRule="atLeast"/>
        <w:jc w:val="both"/>
        <w:rPr>
          <w:rFonts w:ascii="Arial" w:eastAsia="Segoe UI" w:hAnsi="Arial" w:cs="Arial"/>
          <w:b/>
          <w:bCs/>
          <w:sz w:val="22"/>
          <w:szCs w:val="22"/>
        </w:rPr>
      </w:pPr>
      <w:r w:rsidRPr="00477FB2">
        <w:rPr>
          <w:rFonts w:ascii="Arial" w:eastAsia="Segoe UI" w:hAnsi="Arial" w:cs="Arial"/>
          <w:sz w:val="18"/>
          <w:szCs w:val="18"/>
        </w:rPr>
        <w:t xml:space="preserve">          nazwa producenta, model i symbol oferowanego sprzętu</w:t>
      </w:r>
    </w:p>
    <w:p w:rsidR="004F0890" w:rsidRDefault="004F0890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tbl>
      <w:tblPr>
        <w:tblW w:w="96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43"/>
        <w:gridCol w:w="4008"/>
        <w:gridCol w:w="1267"/>
        <w:gridCol w:w="2545"/>
      </w:tblGrid>
      <w:tr w:rsidR="004F0890" w:rsidTr="004F0890"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pStyle w:val="Zawartotabeli"/>
              <w:snapToGrid w:val="0"/>
              <w:spacing w:line="200" w:lineRule="atLeast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WYMAGANIA</w:t>
            </w:r>
          </w:p>
        </w:tc>
        <w:tc>
          <w:tcPr>
            <w:tcW w:w="4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MINIMALNE</w:t>
            </w:r>
          </w:p>
        </w:tc>
        <w:tc>
          <w:tcPr>
            <w:tcW w:w="12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CZY W/W URZĄDZENIE SPEŁNIA WYMAGANIA TAK/NIE</w:t>
            </w:r>
          </w:p>
        </w:tc>
        <w:tc>
          <w:tcPr>
            <w:tcW w:w="2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F0890" w:rsidRDefault="004F0890" w:rsidP="004F0890">
            <w:pPr>
              <w:snapToGrid w:val="0"/>
              <w:spacing w:line="200" w:lineRule="atLeast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PARAMETRY OFEROWANE</w:t>
            </w: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Typ ekranu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Ekran ciekłokrystaliczny z aktywną matrycą TFT 21,5” 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Rozmiar plamki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0,248 mm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Jasność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250 cd/m2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Kontrast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1000:1, dynamiczny 2 000 000:1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Kąty widzenia (pion/poziom)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178/178 stopni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Czas reakcji matrycy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max 8 ms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Rozdzielczość maksymalna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1920 x 1080 przy 60Hz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Gama koloru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min. 85% (CIE 1976)</w:t>
            </w:r>
          </w:p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min. 72% (CIE 1931)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Częstotliwość odświeżania poziomego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 30 – 83  kHz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Częstotliwość odświeżania pionowego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 56 – 76 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Hz</w:t>
            </w:r>
            <w:proofErr w:type="spellEnd"/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Pochylenie monitora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W zakresie 25 stopni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Wydłużenie w pionie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Tak, min 130 mm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PIVOT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Tak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Powłoka powierzchni ekranu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Antyodblaskowa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Podświetlenie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System podświetlenia LED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Zużycie energii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Typowo 26W, maksymalne 42W, czuwanie mniej niż 0,3W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Bezpieczeństwo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Monitor musi być wyposażony w tzw.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Kensington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Slot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4F0890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 xml:space="preserve">Złącze 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1x 15-stykowe złącze D-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Sub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, </w:t>
            </w:r>
          </w:p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1x złącze DVI-D z HDCP, </w:t>
            </w:r>
          </w:p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1x złącze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DisplayPort</w:t>
            </w:r>
            <w:proofErr w:type="spellEnd"/>
          </w:p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4 x USB (HUB)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Certyfikaty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TCO, ISO 13406-2 lub ISO 9241, EPEAT Gold, Energy Star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287EE4" w:rsidTr="009968E5"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87EE4" w:rsidRPr="00477FB2" w:rsidRDefault="00287EE4" w:rsidP="00287EE4">
            <w:pPr>
              <w:rPr>
                <w:rFonts w:ascii="Arial" w:hAnsi="Arial" w:cs="Arial"/>
                <w:b/>
                <w:bCs/>
                <w:sz w:val="20"/>
              </w:rPr>
            </w:pPr>
            <w:r w:rsidRPr="00477FB2">
              <w:rPr>
                <w:rFonts w:ascii="Arial" w:hAnsi="Arial" w:cs="Arial"/>
                <w:b/>
                <w:bCs/>
                <w:sz w:val="20"/>
              </w:rPr>
              <w:t>Inne</w:t>
            </w:r>
          </w:p>
        </w:tc>
        <w:tc>
          <w:tcPr>
            <w:tcW w:w="40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>Odłączana stopa z VESA 100mm</w:t>
            </w:r>
          </w:p>
          <w:p w:rsidR="00287EE4" w:rsidRPr="00477FB2" w:rsidRDefault="00287EE4" w:rsidP="00287EE4">
            <w:pPr>
              <w:rPr>
                <w:rFonts w:ascii="Arial" w:hAnsi="Arial" w:cs="Arial"/>
                <w:bCs/>
                <w:sz w:val="20"/>
              </w:rPr>
            </w:pPr>
            <w:r w:rsidRPr="00477FB2">
              <w:rPr>
                <w:rFonts w:ascii="Arial" w:hAnsi="Arial" w:cs="Arial"/>
                <w:bCs/>
                <w:sz w:val="20"/>
              </w:rPr>
              <w:t xml:space="preserve">Kable zasilające + kable do podłączenia poprzez złącze </w:t>
            </w:r>
            <w:proofErr w:type="spellStart"/>
            <w:r w:rsidRPr="00477FB2">
              <w:rPr>
                <w:rFonts w:ascii="Arial" w:hAnsi="Arial" w:cs="Arial"/>
                <w:bCs/>
                <w:sz w:val="20"/>
              </w:rPr>
              <w:t>DisplayPort</w:t>
            </w:r>
            <w:proofErr w:type="spellEnd"/>
            <w:r w:rsidRPr="00477FB2">
              <w:rPr>
                <w:rFonts w:ascii="Arial" w:hAnsi="Arial" w:cs="Arial"/>
                <w:bCs/>
                <w:sz w:val="20"/>
              </w:rPr>
              <w:t xml:space="preserve"> </w:t>
            </w:r>
          </w:p>
        </w:tc>
        <w:tc>
          <w:tcPr>
            <w:tcW w:w="12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5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87EE4" w:rsidRDefault="00287EE4" w:rsidP="00287EE4">
            <w:pPr>
              <w:snapToGrid w:val="0"/>
              <w:spacing w:line="200" w:lineRule="atLeast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4D6ADC" w:rsidRDefault="004D6ADC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4F0890" w:rsidRDefault="004F0890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4F0890" w:rsidRDefault="004F0890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4F0890" w:rsidRDefault="004F0890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4D6ADC" w:rsidRDefault="004D6ADC" w:rsidP="004D6ADC">
      <w:pPr>
        <w:shd w:val="clear" w:color="auto" w:fill="FFFFFF"/>
        <w:spacing w:line="200" w:lineRule="atLeast"/>
        <w:ind w:left="14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4D6ADC" w:rsidRDefault="004D6ADC" w:rsidP="004D6ADC">
      <w:pPr>
        <w:pStyle w:val="Tekstpodstawowy"/>
        <w:spacing w:line="200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...........................................    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</w:t>
      </w:r>
      <w:r>
        <w:rPr>
          <w:rFonts w:ascii="Arial" w:hAnsi="Arial" w:cs="Arial"/>
          <w:sz w:val="16"/>
          <w:szCs w:val="16"/>
        </w:rPr>
        <w:tab/>
        <w:t>............................................................</w:t>
      </w:r>
    </w:p>
    <w:p w:rsidR="004D6ADC" w:rsidRDefault="004D6ADC" w:rsidP="004D6ADC">
      <w:pPr>
        <w:pStyle w:val="Tekstpodstawowy"/>
        <w:spacing w:line="200" w:lineRule="atLeast"/>
        <w:rPr>
          <w:rFonts w:ascii="Arial" w:hAnsi="Arial" w:cs="Arial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 xml:space="preserve">    Miejscowość, data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>Podpis wraz z pieczęcią osoby uprawnionej</w:t>
      </w:r>
    </w:p>
    <w:p w:rsidR="004D6ADC" w:rsidRDefault="004D6ADC" w:rsidP="004D6ADC">
      <w:pPr>
        <w:pStyle w:val="Tekstpodstawowy"/>
        <w:shd w:val="clear" w:color="auto" w:fill="FFFFFF"/>
        <w:spacing w:line="200" w:lineRule="atLeast"/>
        <w:ind w:left="5103" w:firstLine="567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 reprezentowania Wykonawcy</w:t>
      </w:r>
    </w:p>
    <w:p w:rsidR="004D6ADC" w:rsidRPr="00477FB2" w:rsidRDefault="004D6ADC" w:rsidP="004D6ADC">
      <w:pPr>
        <w:jc w:val="both"/>
        <w:rPr>
          <w:rFonts w:ascii="Arial" w:hAnsi="Arial" w:cs="Arial"/>
          <w:sz w:val="22"/>
          <w:szCs w:val="22"/>
        </w:rPr>
      </w:pPr>
    </w:p>
    <w:sectPr w:rsidR="004D6ADC" w:rsidRPr="00477FB2" w:rsidSect="004F5B1F">
      <w:headerReference w:type="default" r:id="rId18"/>
      <w:footerReference w:type="default" r:id="rId19"/>
      <w:pgSz w:w="11906" w:h="16838"/>
      <w:pgMar w:top="1417" w:right="1417" w:bottom="1417" w:left="1417" w:header="1134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8E5" w:rsidRDefault="009968E5">
      <w:r>
        <w:separator/>
      </w:r>
    </w:p>
  </w:endnote>
  <w:endnote w:type="continuationSeparator" w:id="0">
    <w:p w:rsidR="009968E5" w:rsidRDefault="00996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890" w:rsidRDefault="004F0890">
    <w:pPr>
      <w:pStyle w:val="Stopka"/>
      <w:jc w:val="center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1C3FBB">
      <w:rPr>
        <w:noProof/>
        <w:sz w:val="20"/>
        <w:szCs w:val="20"/>
      </w:rPr>
      <w:t>17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8E5" w:rsidRDefault="009968E5">
      <w:r>
        <w:separator/>
      </w:r>
    </w:p>
  </w:footnote>
  <w:footnote w:type="continuationSeparator" w:id="0">
    <w:p w:rsidR="009968E5" w:rsidRDefault="009968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890" w:rsidRDefault="004F0890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O.AK.3531-3-3/2015</w:t>
    </w:r>
  </w:p>
  <w:p w:rsidR="004F0890" w:rsidRPr="00517372" w:rsidRDefault="004F0890">
    <w:pPr>
      <w:rPr>
        <w:rFonts w:ascii="Arial" w:hAnsi="Arial" w:cs="Arial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/>
        <w:sz w:val="21"/>
        <w:szCs w:val="21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Cs/>
        <w:color w:val="000000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sz w:val="21"/>
        <w:szCs w:val="21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bCs w:val="0"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/>
        <w:bCs/>
        <w:i/>
        <w:sz w:val="21"/>
        <w:szCs w:val="21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bCs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/>
        <w:bCs/>
        <w:color w:val="000000"/>
        <w:sz w:val="21"/>
        <w:szCs w:val="21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/>
        <w:bCs/>
        <w:sz w:val="21"/>
        <w:szCs w:val="21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Arial" w:eastAsia="Times New Roman" w:hAnsi="Arial" w:cs="Times New Roman"/>
        <w:b/>
        <w:bCs/>
        <w:color w:val="000000"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>
      <w:start w:val="1"/>
      <w:numFmt w:val="decimal"/>
      <w:lvlText w:val="%5."/>
      <w:lvlJc w:val="left"/>
      <w:pPr>
        <w:tabs>
          <w:tab w:val="num" w:pos="2400"/>
        </w:tabs>
        <w:ind w:left="2400" w:hanging="360"/>
      </w:pPr>
    </w:lvl>
    <w:lvl w:ilvl="5">
      <w:start w:val="1"/>
      <w:numFmt w:val="decimal"/>
      <w:lvlText w:val="%6."/>
      <w:lvlJc w:val="left"/>
      <w:pPr>
        <w:tabs>
          <w:tab w:val="num" w:pos="2760"/>
        </w:tabs>
        <w:ind w:left="2760" w:hanging="360"/>
      </w:pPr>
    </w:lvl>
    <w:lvl w:ilvl="6">
      <w:start w:val="1"/>
      <w:numFmt w:val="decimal"/>
      <w:lvlText w:val="%7."/>
      <w:lvlJc w:val="left"/>
      <w:pPr>
        <w:tabs>
          <w:tab w:val="num" w:pos="3120"/>
        </w:tabs>
        <w:ind w:left="3120" w:hanging="360"/>
      </w:pPr>
    </w:lvl>
    <w:lvl w:ilvl="7">
      <w:start w:val="1"/>
      <w:numFmt w:val="decimal"/>
      <w:lvlText w:val="%8."/>
      <w:lvlJc w:val="left"/>
      <w:pPr>
        <w:tabs>
          <w:tab w:val="num" w:pos="3480"/>
        </w:tabs>
        <w:ind w:left="3480" w:hanging="360"/>
      </w:pPr>
    </w:lvl>
    <w:lvl w:ilvl="8">
      <w:start w:val="1"/>
      <w:numFmt w:val="decimal"/>
      <w:lvlText w:val="%9."/>
      <w:lvlJc w:val="left"/>
      <w:pPr>
        <w:tabs>
          <w:tab w:val="num" w:pos="3840"/>
        </w:tabs>
        <w:ind w:left="384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 w:val="0"/>
        <w:color w:val="000000"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 w:val="0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21" w15:restartNumberingAfterBreak="0">
    <w:nsid w:val="0B7658B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0EFD4153"/>
    <w:multiLevelType w:val="hybridMultilevel"/>
    <w:tmpl w:val="864A367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18B63086"/>
    <w:multiLevelType w:val="hybridMultilevel"/>
    <w:tmpl w:val="766438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C9365F1"/>
    <w:multiLevelType w:val="hybridMultilevel"/>
    <w:tmpl w:val="FD4840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1F02C5E"/>
    <w:multiLevelType w:val="hybridMultilevel"/>
    <w:tmpl w:val="A332232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224E3EAA"/>
    <w:multiLevelType w:val="hybridMultilevel"/>
    <w:tmpl w:val="D04C7710"/>
    <w:lvl w:ilvl="0" w:tplc="5C42D298">
      <w:start w:val="1"/>
      <w:numFmt w:val="lowerLetter"/>
      <w:lvlText w:val="%1)"/>
      <w:lvlJc w:val="left"/>
      <w:pPr>
        <w:ind w:left="100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2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4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6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8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0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4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69" w:hanging="180"/>
      </w:pPr>
      <w:rPr>
        <w:rFonts w:cs="Times New Roman"/>
      </w:rPr>
    </w:lvl>
  </w:abstractNum>
  <w:abstractNum w:abstractNumId="28" w15:restartNumberingAfterBreak="0">
    <w:nsid w:val="2A5543AF"/>
    <w:multiLevelType w:val="hybridMultilevel"/>
    <w:tmpl w:val="A2C62F1A"/>
    <w:lvl w:ilvl="0" w:tplc="0826F10C">
      <w:start w:val="1"/>
      <w:numFmt w:val="bullet"/>
      <w:lvlText w:val="-"/>
      <w:lvlJc w:val="left"/>
      <w:pPr>
        <w:ind w:left="337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D51913"/>
    <w:multiLevelType w:val="hybridMultilevel"/>
    <w:tmpl w:val="3A9E3FE0"/>
    <w:lvl w:ilvl="0" w:tplc="04150001">
      <w:start w:val="1"/>
      <w:numFmt w:val="bullet"/>
      <w:lvlText w:val=""/>
      <w:lvlJc w:val="left"/>
      <w:pPr>
        <w:tabs>
          <w:tab w:val="num" w:pos="649"/>
        </w:tabs>
        <w:ind w:left="649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31B34C24"/>
    <w:multiLevelType w:val="hybridMultilevel"/>
    <w:tmpl w:val="95741B64"/>
    <w:lvl w:ilvl="0" w:tplc="32DC7C00">
      <w:start w:val="1"/>
      <w:numFmt w:val="lowerLetter"/>
      <w:lvlText w:val="%1)"/>
      <w:lvlJc w:val="left"/>
      <w:pPr>
        <w:ind w:left="69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1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7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3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57" w:hanging="180"/>
      </w:pPr>
      <w:rPr>
        <w:rFonts w:cs="Times New Roman"/>
      </w:rPr>
    </w:lvl>
  </w:abstractNum>
  <w:abstractNum w:abstractNumId="31" w15:restartNumberingAfterBreak="0">
    <w:nsid w:val="35CE4F87"/>
    <w:multiLevelType w:val="hybridMultilevel"/>
    <w:tmpl w:val="7F729E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35D57C0E"/>
    <w:multiLevelType w:val="hybridMultilevel"/>
    <w:tmpl w:val="FC6C6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AE6F4D"/>
    <w:multiLevelType w:val="hybridMultilevel"/>
    <w:tmpl w:val="42DE9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2C65652"/>
    <w:multiLevelType w:val="hybridMultilevel"/>
    <w:tmpl w:val="C602E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DF5E1C"/>
    <w:multiLevelType w:val="hybridMultilevel"/>
    <w:tmpl w:val="5858B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F83A80"/>
    <w:multiLevelType w:val="hybridMultilevel"/>
    <w:tmpl w:val="04C41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10262C"/>
    <w:multiLevelType w:val="multilevel"/>
    <w:tmpl w:val="9D6A9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64" w:hanging="1800"/>
      </w:pPr>
      <w:rPr>
        <w:rFonts w:hint="default"/>
      </w:rPr>
    </w:lvl>
  </w:abstractNum>
  <w:abstractNum w:abstractNumId="39" w15:restartNumberingAfterBreak="0">
    <w:nsid w:val="5E024607"/>
    <w:multiLevelType w:val="hybridMultilevel"/>
    <w:tmpl w:val="85F203A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60446E95"/>
    <w:multiLevelType w:val="hybridMultilevel"/>
    <w:tmpl w:val="3BAC90D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1803524"/>
    <w:multiLevelType w:val="hybridMultilevel"/>
    <w:tmpl w:val="C14E8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CD31B2"/>
    <w:multiLevelType w:val="hybridMultilevel"/>
    <w:tmpl w:val="8BC6A4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B052F0"/>
    <w:multiLevelType w:val="hybridMultilevel"/>
    <w:tmpl w:val="2B84B7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3E74F2"/>
    <w:multiLevelType w:val="hybridMultilevel"/>
    <w:tmpl w:val="F3465F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56585D"/>
    <w:multiLevelType w:val="hybridMultilevel"/>
    <w:tmpl w:val="62C8FA4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6B3936DB"/>
    <w:multiLevelType w:val="hybridMultilevel"/>
    <w:tmpl w:val="6B90F87C"/>
    <w:lvl w:ilvl="0" w:tplc="0415000F">
      <w:start w:val="1"/>
      <w:numFmt w:val="decimal"/>
      <w:lvlText w:val="%1."/>
      <w:lvlJc w:val="left"/>
      <w:pPr>
        <w:tabs>
          <w:tab w:val="num" w:pos="649"/>
        </w:tabs>
        <w:ind w:left="649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 w15:restartNumberingAfterBreak="0">
    <w:nsid w:val="6C1F21B8"/>
    <w:multiLevelType w:val="hybridMultilevel"/>
    <w:tmpl w:val="341C92D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2335F7B"/>
    <w:multiLevelType w:val="hybridMultilevel"/>
    <w:tmpl w:val="734CC6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2796FAA"/>
    <w:multiLevelType w:val="multilevel"/>
    <w:tmpl w:val="31B6676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0" w15:restartNumberingAfterBreak="0">
    <w:nsid w:val="739B42C6"/>
    <w:multiLevelType w:val="multilevel"/>
    <w:tmpl w:val="9D6A9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64" w:hanging="1800"/>
      </w:pPr>
      <w:rPr>
        <w:rFonts w:hint="default"/>
      </w:rPr>
    </w:lvl>
  </w:abstractNum>
  <w:abstractNum w:abstractNumId="51" w15:restartNumberingAfterBreak="0">
    <w:nsid w:val="78744CB2"/>
    <w:multiLevelType w:val="multilevel"/>
    <w:tmpl w:val="9D6A9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64" w:hanging="1800"/>
      </w:pPr>
      <w:rPr>
        <w:rFonts w:hint="default"/>
      </w:rPr>
    </w:lvl>
  </w:abstractNum>
  <w:abstractNum w:abstractNumId="52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16"/>
  </w:num>
  <w:num w:numId="15">
    <w:abstractNumId w:val="18"/>
  </w:num>
  <w:num w:numId="16">
    <w:abstractNumId w:val="19"/>
  </w:num>
  <w:num w:numId="17">
    <w:abstractNumId w:val="49"/>
  </w:num>
  <w:num w:numId="1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</w:num>
  <w:num w:numId="20">
    <w:abstractNumId w:val="47"/>
  </w:num>
  <w:num w:numId="21">
    <w:abstractNumId w:val="39"/>
  </w:num>
  <w:num w:numId="22">
    <w:abstractNumId w:val="22"/>
  </w:num>
  <w:num w:numId="23">
    <w:abstractNumId w:val="31"/>
  </w:num>
  <w:num w:numId="24">
    <w:abstractNumId w:val="26"/>
  </w:num>
  <w:num w:numId="25">
    <w:abstractNumId w:val="37"/>
  </w:num>
  <w:num w:numId="26">
    <w:abstractNumId w:val="36"/>
  </w:num>
  <w:num w:numId="27">
    <w:abstractNumId w:val="34"/>
  </w:num>
  <w:num w:numId="28">
    <w:abstractNumId w:val="21"/>
  </w:num>
  <w:num w:numId="29">
    <w:abstractNumId w:val="28"/>
  </w:num>
  <w:num w:numId="30">
    <w:abstractNumId w:val="27"/>
  </w:num>
  <w:num w:numId="31">
    <w:abstractNumId w:val="24"/>
  </w:num>
  <w:num w:numId="32">
    <w:abstractNumId w:val="30"/>
  </w:num>
  <w:num w:numId="33">
    <w:abstractNumId w:val="51"/>
  </w:num>
  <w:num w:numId="34">
    <w:abstractNumId w:val="43"/>
  </w:num>
  <w:num w:numId="35">
    <w:abstractNumId w:val="23"/>
  </w:num>
  <w:num w:numId="36">
    <w:abstractNumId w:val="48"/>
  </w:num>
  <w:num w:numId="37">
    <w:abstractNumId w:val="45"/>
  </w:num>
  <w:num w:numId="38">
    <w:abstractNumId w:val="35"/>
  </w:num>
  <w:num w:numId="39">
    <w:abstractNumId w:val="46"/>
  </w:num>
  <w:num w:numId="40">
    <w:abstractNumId w:val="25"/>
  </w:num>
  <w:num w:numId="41">
    <w:abstractNumId w:val="33"/>
  </w:num>
  <w:num w:numId="42">
    <w:abstractNumId w:val="44"/>
  </w:num>
  <w:num w:numId="43">
    <w:abstractNumId w:val="52"/>
  </w:num>
  <w:num w:numId="44">
    <w:abstractNumId w:val="42"/>
  </w:num>
  <w:num w:numId="45">
    <w:abstractNumId w:val="32"/>
  </w:num>
  <w:num w:numId="46">
    <w:abstractNumId w:val="40"/>
  </w:num>
  <w:num w:numId="47">
    <w:abstractNumId w:val="38"/>
  </w:num>
  <w:num w:numId="48">
    <w:abstractNumId w:val="5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72"/>
    <w:rsid w:val="000E07DA"/>
    <w:rsid w:val="001178A3"/>
    <w:rsid w:val="001376B8"/>
    <w:rsid w:val="0015612A"/>
    <w:rsid w:val="001C2987"/>
    <w:rsid w:val="001C3FBB"/>
    <w:rsid w:val="001C52B8"/>
    <w:rsid w:val="001E20D9"/>
    <w:rsid w:val="00254F2F"/>
    <w:rsid w:val="002806C6"/>
    <w:rsid w:val="00287EE4"/>
    <w:rsid w:val="00290DF1"/>
    <w:rsid w:val="0032042E"/>
    <w:rsid w:val="003C32D4"/>
    <w:rsid w:val="0040658E"/>
    <w:rsid w:val="004336CA"/>
    <w:rsid w:val="00436BD8"/>
    <w:rsid w:val="00477FB2"/>
    <w:rsid w:val="004935CC"/>
    <w:rsid w:val="004D6ADC"/>
    <w:rsid w:val="004F0890"/>
    <w:rsid w:val="004F5B1F"/>
    <w:rsid w:val="00517372"/>
    <w:rsid w:val="00531DC8"/>
    <w:rsid w:val="0054220C"/>
    <w:rsid w:val="005533E9"/>
    <w:rsid w:val="00565148"/>
    <w:rsid w:val="005758EB"/>
    <w:rsid w:val="00632872"/>
    <w:rsid w:val="0069358B"/>
    <w:rsid w:val="006C0BAA"/>
    <w:rsid w:val="006F694D"/>
    <w:rsid w:val="00707B06"/>
    <w:rsid w:val="00714646"/>
    <w:rsid w:val="00730C1E"/>
    <w:rsid w:val="007A420B"/>
    <w:rsid w:val="00855BFC"/>
    <w:rsid w:val="008F6325"/>
    <w:rsid w:val="009038F9"/>
    <w:rsid w:val="00911E91"/>
    <w:rsid w:val="00912042"/>
    <w:rsid w:val="009968E5"/>
    <w:rsid w:val="00A20671"/>
    <w:rsid w:val="00A33923"/>
    <w:rsid w:val="00AB490D"/>
    <w:rsid w:val="00AD497D"/>
    <w:rsid w:val="00B54192"/>
    <w:rsid w:val="00B9601B"/>
    <w:rsid w:val="00BF500B"/>
    <w:rsid w:val="00C034C6"/>
    <w:rsid w:val="00C71ABA"/>
    <w:rsid w:val="00D657E4"/>
    <w:rsid w:val="00DC4EB4"/>
    <w:rsid w:val="00DD0B04"/>
    <w:rsid w:val="00E65C53"/>
    <w:rsid w:val="00EC153B"/>
    <w:rsid w:val="00F3508E"/>
    <w:rsid w:val="00F455A7"/>
    <w:rsid w:val="00FB7D7B"/>
    <w:rsid w:val="00FC0A85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  <w15:chartTrackingRefBased/>
  <w15:docId w15:val="{1AAA4DE9-0F7F-42E1-96BD-D0A8FB6A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right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14646"/>
    <w:pPr>
      <w:keepNext/>
      <w:keepLines/>
      <w:suppressAutoHyphens w:val="0"/>
      <w:spacing w:before="40" w:line="259" w:lineRule="auto"/>
      <w:outlineLvl w:val="3"/>
    </w:pPr>
    <w:rPr>
      <w:rFonts w:ascii="Calibri Light" w:hAnsi="Calibri Light"/>
      <w:i/>
      <w:iCs/>
      <w:color w:val="2E74B5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sz w:val="20"/>
    </w:rPr>
  </w:style>
  <w:style w:type="character" w:customStyle="1" w:styleId="WW8Num2z1">
    <w:name w:val="WW8Num2z1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  <w:b w:val="0"/>
      <w:bCs w:val="0"/>
      <w:color w:val="auto"/>
      <w:sz w:val="24"/>
      <w:szCs w:val="24"/>
      <w:lang w:val="pl-PL"/>
    </w:rPr>
  </w:style>
  <w:style w:type="character" w:customStyle="1" w:styleId="WW8Num3z1">
    <w:name w:val="WW8Num3z1"/>
    <w:rPr>
      <w:rFonts w:ascii="Arial" w:hAnsi="Arial" w:cs="Arial"/>
      <w:b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OpenSymbol"/>
      <w:b/>
      <w:bCs/>
    </w:rPr>
  </w:style>
  <w:style w:type="character" w:customStyle="1" w:styleId="WW8Num4z1">
    <w:name w:val="WW8Num4z1"/>
    <w:rPr>
      <w:b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b/>
      <w:bCs/>
      <w:sz w:val="21"/>
      <w:szCs w:val="21"/>
    </w:rPr>
  </w:style>
  <w:style w:type="character" w:customStyle="1" w:styleId="WW8Num5z1">
    <w:name w:val="WW8Num5z1"/>
    <w:rPr>
      <w:rFonts w:ascii="Arial" w:hAnsi="Arial" w:cs="Arial"/>
      <w:bCs/>
      <w:color w:val="000000"/>
      <w:sz w:val="22"/>
      <w:szCs w:val="22"/>
      <w:lang w:val="pl-PL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/>
      <w:b/>
      <w:sz w:val="21"/>
      <w:szCs w:val="21"/>
    </w:rPr>
  </w:style>
  <w:style w:type="character" w:customStyle="1" w:styleId="WW8Num6z1">
    <w:name w:val="WW8Num6z1"/>
    <w:rPr>
      <w:rFonts w:ascii="Arial" w:hAnsi="Arial" w:cs="Arial"/>
      <w:b w:val="0"/>
      <w:bCs w:val="0"/>
      <w:color w:val="auto"/>
      <w:sz w:val="22"/>
      <w:szCs w:val="22"/>
      <w:lang w:val="pl-PL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Times New Roman"/>
      <w:b w:val="0"/>
      <w:bCs w:val="0"/>
      <w:color w:val="auto"/>
      <w:sz w:val="22"/>
      <w:szCs w:val="22"/>
      <w:lang w:val="pl-P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Times New Roman"/>
      <w:b/>
      <w:bCs/>
      <w:i/>
      <w:color w:val="auto"/>
      <w:sz w:val="21"/>
      <w:szCs w:val="21"/>
      <w:lang w:val="pl-PL"/>
    </w:rPr>
  </w:style>
  <w:style w:type="character" w:customStyle="1" w:styleId="WW8Num8z1">
    <w:name w:val="WW8Num8z1"/>
    <w:rPr>
      <w:b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b/>
      <w:bCs/>
      <w:sz w:val="21"/>
      <w:szCs w:val="21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Arial" w:hAnsi="Arial" w:cs="Times New Roman"/>
      <w:b/>
      <w:bCs/>
      <w:color w:val="000000"/>
      <w:sz w:val="21"/>
      <w:szCs w:val="21"/>
      <w:lang w:val="pl-PL"/>
    </w:rPr>
  </w:style>
  <w:style w:type="character" w:customStyle="1" w:styleId="WW8Num10z1">
    <w:name w:val="WW8Num10z1"/>
    <w:rPr>
      <w:color w:val="00000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Times New Roman"/>
      <w:b/>
    </w:rPr>
  </w:style>
  <w:style w:type="character" w:customStyle="1" w:styleId="WW8Num12z0">
    <w:name w:val="WW8Num12z0"/>
    <w:rPr>
      <w:rFonts w:ascii="Arial" w:hAnsi="Arial" w:cs="Times New Roman"/>
      <w:b/>
      <w:bCs/>
      <w:color w:val="auto"/>
      <w:sz w:val="21"/>
      <w:szCs w:val="21"/>
      <w:lang w:val="pl-PL"/>
    </w:rPr>
  </w:style>
  <w:style w:type="character" w:customStyle="1" w:styleId="WW8Num12z1">
    <w:name w:val="WW8Num12z1"/>
    <w:rPr>
      <w:b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Arial" w:eastAsia="Times New Roman" w:hAnsi="Arial" w:cs="Times New Roman"/>
      <w:b/>
      <w:bCs/>
      <w:color w:val="000000"/>
      <w:sz w:val="22"/>
      <w:szCs w:val="22"/>
      <w:lang w:val="pl-PL"/>
    </w:rPr>
  </w:style>
  <w:style w:type="character" w:customStyle="1" w:styleId="WW8Num13z1">
    <w:name w:val="WW8Num13z1"/>
    <w:rPr>
      <w:b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hAnsi="Times New Roman" w:cs="Times New Roman"/>
      <w:b/>
    </w:rPr>
  </w:style>
  <w:style w:type="character" w:customStyle="1" w:styleId="WW8Num14z1">
    <w:name w:val="WW8Num14z1"/>
    <w:rPr>
      <w:b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b/>
      <w:bCs/>
      <w:sz w:val="22"/>
      <w:szCs w:val="22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 w:cs="Times New Roman"/>
      <w:b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Symbol" w:hAnsi="Symbol" w:cs="OpenSymbol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/>
      <w:b/>
      <w:bCs/>
      <w:color w:val="auto"/>
      <w:sz w:val="22"/>
      <w:szCs w:val="22"/>
      <w:lang w:val="pl-P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</w:style>
  <w:style w:type="character" w:customStyle="1" w:styleId="WW8Num17z3">
    <w:name w:val="WW8Num17z3"/>
    <w:rPr>
      <w:rFonts w:ascii="Symbol" w:hAnsi="Symbol" w:cs="OpenSymbol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hAnsi="Times New Roman" w:cs="Times New Roman"/>
      <w:b/>
      <w:bCs w:val="0"/>
      <w:color w:val="000000"/>
      <w:sz w:val="22"/>
      <w:szCs w:val="22"/>
      <w:lang w:val="pl-PL"/>
    </w:rPr>
  </w:style>
  <w:style w:type="character" w:customStyle="1" w:styleId="WW8Num18z1">
    <w:name w:val="WW8Num18z1"/>
  </w:style>
  <w:style w:type="character" w:customStyle="1" w:styleId="WW8Num18z2">
    <w:name w:val="WW8Num18z2"/>
    <w:rPr>
      <w:b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  <w:b/>
      <w:bCs w:val="0"/>
      <w:sz w:val="20"/>
      <w:szCs w:val="20"/>
      <w:lang w:val="pl-PL"/>
    </w:rPr>
  </w:style>
  <w:style w:type="character" w:customStyle="1" w:styleId="WW8Num19z1">
    <w:name w:val="WW8Num19z1"/>
    <w:rPr>
      <w:rFonts w:ascii="OpenSymbol" w:hAnsi="OpenSymbol" w:cs="OpenSymbol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b/>
      <w:bCs/>
      <w:color w:val="auto"/>
      <w:sz w:val="22"/>
      <w:szCs w:val="22"/>
      <w:lang w:val="pl-PL"/>
    </w:rPr>
  </w:style>
  <w:style w:type="character" w:customStyle="1" w:styleId="WW8Num20z1">
    <w:name w:val="WW8Num20z1"/>
    <w:rPr>
      <w:rFonts w:ascii="OpenSymbol" w:hAnsi="OpenSymbol" w:cs="OpenSymbol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1z1">
    <w:name w:val="WW8Num21z1"/>
    <w:rPr>
      <w:b/>
    </w:rPr>
  </w:style>
  <w:style w:type="character" w:customStyle="1" w:styleId="WW8Num24z0">
    <w:name w:val="WW8Num24z0"/>
    <w:rPr>
      <w:rFonts w:ascii="Times New Roman" w:hAnsi="Times New Roman" w:cs="Times New Roman"/>
      <w:b/>
    </w:rPr>
  </w:style>
  <w:style w:type="character" w:customStyle="1" w:styleId="WW8Num24z1">
    <w:name w:val="WW8Num24z1"/>
    <w:rPr>
      <w:rFonts w:ascii="OpenSymbol" w:hAnsi="OpenSymbol" w:cs="OpenSymbol"/>
    </w:rPr>
  </w:style>
  <w:style w:type="character" w:customStyle="1" w:styleId="WW8Num25z0">
    <w:name w:val="WW8Num25z0"/>
    <w:rPr>
      <w:rFonts w:ascii="Times New Roman" w:hAnsi="Times New Roman" w:cs="Times New Roman"/>
      <w:b/>
    </w:rPr>
  </w:style>
  <w:style w:type="character" w:customStyle="1" w:styleId="WW8Num25z1">
    <w:name w:val="WW8Num25z1"/>
    <w:rPr>
      <w:rFonts w:ascii="OpenSymbol" w:hAnsi="OpenSymbol" w:cs="OpenSymbol"/>
    </w:rPr>
  </w:style>
  <w:style w:type="character" w:customStyle="1" w:styleId="WW8Num26z0">
    <w:name w:val="WW8Num26z0"/>
    <w:rPr>
      <w:rFonts w:ascii="Times New Roman" w:hAnsi="Times New Roman" w:cs="Times New Roman"/>
      <w:b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7z0">
    <w:name w:val="WW8Num27z0"/>
    <w:rPr>
      <w:rFonts w:ascii="Symbol" w:hAnsi="Symbol" w:cs="OpenSymbol"/>
    </w:rPr>
  </w:style>
  <w:style w:type="character" w:customStyle="1" w:styleId="WW8Num27z1">
    <w:name w:val="WW8Num27z1"/>
    <w:rPr>
      <w:rFonts w:ascii="OpenSymbol" w:hAnsi="OpenSymbol" w:cs="OpenSymbol"/>
    </w:rPr>
  </w:style>
  <w:style w:type="character" w:customStyle="1" w:styleId="WW-Absatz-Standardschriftart1">
    <w:name w:val="WW-Absatz-Standardschriftart1"/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8z0">
    <w:name w:val="WW8Num28z0"/>
    <w:rPr>
      <w:rFonts w:ascii="Times New Roman" w:hAnsi="Times New Roman" w:cs="Times New Roman"/>
      <w:b/>
    </w:rPr>
  </w:style>
  <w:style w:type="character" w:customStyle="1" w:styleId="WW8Num28z1">
    <w:name w:val="WW8Num28z1"/>
    <w:rPr>
      <w:rFonts w:ascii="OpenSymbol" w:hAnsi="Open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3z0">
    <w:name w:val="WW8Num23z0"/>
    <w:rPr>
      <w:b/>
    </w:rPr>
  </w:style>
  <w:style w:type="character" w:customStyle="1" w:styleId="WW8Num23z1">
    <w:name w:val="WW8Num23z1"/>
    <w:rPr>
      <w:rFonts w:ascii="OpenSymbol" w:hAnsi="OpenSymbol" w:cs="OpenSymbol"/>
    </w:rPr>
  </w:style>
  <w:style w:type="character" w:customStyle="1" w:styleId="WW8Num29z0">
    <w:name w:val="WW8Num29z0"/>
    <w:rPr>
      <w:b/>
    </w:rPr>
  </w:style>
  <w:style w:type="character" w:customStyle="1" w:styleId="WW8Num29z1">
    <w:name w:val="WW8Num29z1"/>
    <w:rPr>
      <w:rFonts w:ascii="OpenSymbol" w:hAnsi="OpenSymbol" w:cs="OpenSymbol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1z0">
    <w:name w:val="WW8Num31z0"/>
    <w:rPr>
      <w:rFonts w:ascii="Times New Roman" w:hAnsi="Times New Roman" w:cs="Times New Roman"/>
      <w:b/>
    </w:rPr>
  </w:style>
  <w:style w:type="character" w:customStyle="1" w:styleId="WW8Num31z1">
    <w:name w:val="WW8Num31z1"/>
    <w:rPr>
      <w:rFonts w:ascii="OpenSymbol" w:hAnsi="OpenSymbol" w:cs="OpenSymbol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2z1">
    <w:name w:val="WW8Num32z1"/>
    <w:rPr>
      <w:rFonts w:ascii="OpenSymbol" w:hAnsi="OpenSymbol" w:cs="OpenSymbol"/>
      <w:position w:val="0"/>
      <w:sz w:val="24"/>
      <w:vertAlign w:val="baseline"/>
    </w:rPr>
  </w:style>
  <w:style w:type="character" w:customStyle="1" w:styleId="WW8Num33z0">
    <w:name w:val="WW8Num33z0"/>
    <w:rPr>
      <w:rFonts w:ascii="Times New Roman" w:hAnsi="Times New Roman" w:cs="Times New Roman"/>
      <w:b/>
    </w:rPr>
  </w:style>
  <w:style w:type="character" w:customStyle="1" w:styleId="WW8Num33z1">
    <w:name w:val="WW8Num33z1"/>
    <w:rPr>
      <w:rFonts w:ascii="OpenSymbol" w:hAnsi="OpenSymbol" w:cs="OpenSymbol"/>
    </w:rPr>
  </w:style>
  <w:style w:type="character" w:customStyle="1" w:styleId="WW8Num34z0">
    <w:name w:val="WW8Num34z0"/>
    <w:rPr>
      <w:rFonts w:ascii="Times New Roman" w:hAnsi="Times New Roman" w:cs="Times New Roman"/>
      <w:b/>
      <w:sz w:val="20"/>
      <w:szCs w:val="20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rFonts w:ascii="Symbol" w:hAnsi="Symbol" w:cs="Symbol"/>
    </w:rPr>
  </w:style>
  <w:style w:type="character" w:customStyle="1" w:styleId="WW8Num35z1">
    <w:name w:val="WW8Num35z1"/>
    <w:rPr>
      <w:rFonts w:ascii="OpenSymbol" w:hAnsi="OpenSymbol" w:cs="OpenSymbol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30z1">
    <w:name w:val="WW8Num30z1"/>
    <w:rPr>
      <w:position w:val="0"/>
      <w:sz w:val="24"/>
      <w:vertAlign w:val="baseline"/>
    </w:rPr>
  </w:style>
  <w:style w:type="character" w:customStyle="1" w:styleId="WW8Num35z2">
    <w:name w:val="WW8Num35z2"/>
    <w:rPr>
      <w:rFonts w:ascii="Wingdings" w:hAnsi="Wingdings" w:cs="Wingdings"/>
    </w:rPr>
  </w:style>
  <w:style w:type="character" w:customStyle="1" w:styleId="WW8Num35z4">
    <w:name w:val="WW8Num35z4"/>
    <w:rPr>
      <w:rFonts w:ascii="Courier New" w:hAnsi="Courier New" w:cs="Courier New"/>
    </w:rPr>
  </w:style>
  <w:style w:type="character" w:customStyle="1" w:styleId="WW8Num38z0">
    <w:name w:val="WW8Num38z0"/>
    <w:rPr>
      <w:b w:val="0"/>
    </w:rPr>
  </w:style>
  <w:style w:type="character" w:customStyle="1" w:styleId="WW8Num40z0">
    <w:name w:val="WW8Num40z0"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41z0">
    <w:name w:val="WW8Num41z0"/>
    <w:rPr>
      <w:rFonts w:ascii="Symbol" w:hAnsi="Symbol" w:cs="Symbol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 w:cs="Wingdings"/>
    </w:rPr>
  </w:style>
  <w:style w:type="character" w:customStyle="1" w:styleId="WW8Num42z0">
    <w:name w:val="WW8Num42z0"/>
    <w:rPr>
      <w:rFonts w:ascii="Arial" w:hAnsi="Arial" w:cs="Arial"/>
    </w:rPr>
  </w:style>
  <w:style w:type="character" w:customStyle="1" w:styleId="WW8Num45z0">
    <w:name w:val="WW8Num45z0"/>
    <w:rPr>
      <w:b w:val="0"/>
    </w:rPr>
  </w:style>
  <w:style w:type="character" w:customStyle="1" w:styleId="WW8Num45z1">
    <w:name w:val="WW8Num45z1"/>
    <w:rPr>
      <w:b/>
    </w:rPr>
  </w:style>
  <w:style w:type="character" w:customStyle="1" w:styleId="WW8NumSt40z0">
    <w:name w:val="WW8NumSt40z0"/>
    <w:rPr>
      <w:rFonts w:ascii="Arial" w:hAnsi="Arial" w:cs="Arial"/>
    </w:rPr>
  </w:style>
  <w:style w:type="character" w:customStyle="1" w:styleId="WW8NumSt41z0">
    <w:name w:val="WW8NumSt41z0"/>
    <w:rPr>
      <w:rFonts w:ascii="Arial" w:hAnsi="Arial" w:cs="Aria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customStyle="1" w:styleId="produktnazwa1">
    <w:name w:val="produkt_nazwa1"/>
    <w:rPr>
      <w:rFonts w:ascii="Verdana" w:hAnsi="Verdana" w:cs="Verdana"/>
      <w:b/>
      <w:bCs/>
      <w:color w:val="FF0000"/>
      <w:sz w:val="24"/>
      <w:szCs w:val="24"/>
    </w:rPr>
  </w:style>
  <w:style w:type="character" w:customStyle="1" w:styleId="Znakinumeracji">
    <w:name w:val="Znaki numeracji"/>
  </w:style>
  <w:style w:type="character" w:customStyle="1" w:styleId="ver8b">
    <w:name w:val="ver8b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RTFNum21">
    <w:name w:val="RTF_Num 2 1"/>
    <w:rPr>
      <w:rFonts w:ascii="Symbol" w:hAnsi="Symbol" w:cs="Symbol"/>
    </w:rPr>
  </w:style>
  <w:style w:type="character" w:styleId="UyteHipercze">
    <w:name w:val="FollowedHyperlink"/>
    <w:rPr>
      <w:color w:val="800000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WW8Num26z2">
    <w:name w:val="WW8Num26z2"/>
    <w:rPr>
      <w:rFonts w:ascii="Wingdings" w:hAnsi="Wingdings" w:cs="Wingding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Pr>
      <w:szCs w:val="20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Andale Sans UI"/>
      <w:kern w:val="1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Tabelapozycja">
    <w:name w:val="Tabela pozycja"/>
    <w:basedOn w:val="Normalny"/>
    <w:rPr>
      <w:rFonts w:ascii="Arial" w:eastAsia="MS Outlook" w:hAnsi="Arial" w:cs="Arial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styleId="NormalnyWeb">
    <w:name w:val="Normal (Web)"/>
    <w:basedOn w:val="Normalny"/>
    <w:pPr>
      <w:spacing w:before="100" w:after="119"/>
    </w:pPr>
  </w:style>
  <w:style w:type="paragraph" w:customStyle="1" w:styleId="Tekstpodstawowy21">
    <w:name w:val="Tekst podstawowy 21"/>
    <w:basedOn w:val="Normalny"/>
  </w:style>
  <w:style w:type="paragraph" w:customStyle="1" w:styleId="Default">
    <w:name w:val="Default"/>
    <w:basedOn w:val="Normalny"/>
    <w:pPr>
      <w:autoSpaceDE w:val="0"/>
    </w:pPr>
    <w:rPr>
      <w:rFonts w:ascii="Segoe UI" w:eastAsia="Segoe UI" w:hAnsi="Segoe UI" w:cs="Segoe UI"/>
      <w:color w:val="000000"/>
      <w:lang w:val="de-DE" w:eastAsia="fa-IR" w:bidi="fa-IR"/>
    </w:rPr>
  </w:style>
  <w:style w:type="paragraph" w:customStyle="1" w:styleId="Tekstpodstawowywcity31">
    <w:name w:val="Tekst podstawowy wcięty 31"/>
    <w:basedOn w:val="Normalny"/>
    <w:pPr>
      <w:spacing w:line="360" w:lineRule="auto"/>
      <w:ind w:left="708"/>
      <w:jc w:val="both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xte1">
    <w:name w:val="texte 1"/>
    <w:basedOn w:val="Normalny"/>
    <w:pPr>
      <w:ind w:left="425"/>
    </w:pPr>
  </w:style>
  <w:style w:type="paragraph" w:customStyle="1" w:styleId="Texte1xx">
    <w:name w:val="Texte 1.xx"/>
    <w:basedOn w:val="Normalny"/>
    <w:pPr>
      <w:ind w:left="1418"/>
    </w:pPr>
  </w:style>
  <w:style w:type="paragraph" w:customStyle="1" w:styleId="Tekstpodstawowy31">
    <w:name w:val="Tekst podstawowy 31"/>
    <w:basedOn w:val="Normalny"/>
    <w:pPr>
      <w:jc w:val="both"/>
    </w:pPr>
    <w:rPr>
      <w:b/>
      <w:bCs/>
    </w:rPr>
  </w:style>
  <w:style w:type="paragraph" w:customStyle="1" w:styleId="Tableau">
    <w:name w:val="Tableau"/>
    <w:basedOn w:val="Normalny"/>
  </w:style>
  <w:style w:type="paragraph" w:customStyle="1" w:styleId="TITRE">
    <w:name w:val="TITRE"/>
    <w:basedOn w:val="Normalny"/>
    <w:next w:val="Normalny"/>
    <w:pPr>
      <w:spacing w:before="480" w:after="480"/>
      <w:jc w:val="center"/>
    </w:pPr>
    <w:rPr>
      <w:b/>
      <w:sz w:val="28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Tekstpodstawowy22">
    <w:name w:val="Tekst podstawowy 22"/>
    <w:basedOn w:val="Normalny"/>
  </w:style>
  <w:style w:type="table" w:styleId="Tabela-Siatka">
    <w:name w:val="Table Grid"/>
    <w:basedOn w:val="Standardowy"/>
    <w:uiPriority w:val="39"/>
    <w:rsid w:val="005173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B7D7B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FB7D7B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22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20C"/>
    <w:rPr>
      <w:rFonts w:ascii="Segoe UI" w:hAnsi="Segoe UI" w:cs="Segoe UI"/>
      <w:sz w:val="18"/>
      <w:szCs w:val="18"/>
      <w:lang w:eastAsia="ar-SA"/>
    </w:rPr>
  </w:style>
  <w:style w:type="character" w:styleId="Uwydatnienie">
    <w:name w:val="Emphasis"/>
    <w:qFormat/>
    <w:rsid w:val="004F5B1F"/>
    <w:rPr>
      <w:i/>
      <w:iCs/>
    </w:rPr>
  </w:style>
  <w:style w:type="paragraph" w:styleId="Wcicienormalne">
    <w:name w:val="Normal Indent"/>
    <w:basedOn w:val="Normalny"/>
    <w:uiPriority w:val="99"/>
    <w:unhideWhenUsed/>
    <w:rsid w:val="00730C1E"/>
    <w:pPr>
      <w:widowControl w:val="0"/>
      <w:suppressAutoHyphens w:val="0"/>
      <w:ind w:left="720"/>
    </w:pPr>
    <w:rPr>
      <w:sz w:val="20"/>
      <w:szCs w:val="20"/>
      <w:lang w:val="en-US" w:eastAsia="en-US"/>
    </w:rPr>
  </w:style>
  <w:style w:type="paragraph" w:customStyle="1" w:styleId="Akapitzlist1">
    <w:name w:val="Akapit z listą1"/>
    <w:basedOn w:val="Normalny"/>
    <w:uiPriority w:val="34"/>
    <w:qFormat/>
    <w:rsid w:val="00730C1E"/>
    <w:pPr>
      <w:suppressAutoHyphens w:val="0"/>
      <w:ind w:left="720"/>
      <w:contextualSpacing/>
    </w:pPr>
    <w:rPr>
      <w:lang w:val="en-GB" w:eastAsia="en-US"/>
    </w:rPr>
  </w:style>
  <w:style w:type="character" w:customStyle="1" w:styleId="pointnormal">
    <w:name w:val="point_normal"/>
    <w:rsid w:val="00730C1E"/>
    <w:rPr>
      <w:rFonts w:cs="Times New Roman"/>
    </w:rPr>
  </w:style>
  <w:style w:type="character" w:customStyle="1" w:styleId="Nagwek4Znak">
    <w:name w:val="Nagłówek 4 Znak"/>
    <w:link w:val="Nagwek4"/>
    <w:uiPriority w:val="9"/>
    <w:rsid w:val="00714646"/>
    <w:rPr>
      <w:rFonts w:ascii="Calibri Light" w:hAnsi="Calibri Light"/>
      <w:i/>
      <w:iCs/>
      <w:color w:val="2E74B5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4D6ADC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cpu_list.php" TargetMode="External"/><Relationship Id="rId13" Type="http://schemas.openxmlformats.org/officeDocument/2006/relationships/hyperlink" Target="http://www.cpubenchmark.net/cpu_list.php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cpubenchmark.net/cpu_list.php" TargetMode="External"/><Relationship Id="rId17" Type="http://schemas.openxmlformats.org/officeDocument/2006/relationships/hyperlink" Target="http://www.cpubenchmark.net/cpu_list.ph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pubenchmark.ne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pubenchmark.net/cpu_list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nergystar.gov" TargetMode="External"/><Relationship Id="rId10" Type="http://schemas.openxmlformats.org/officeDocument/2006/relationships/hyperlink" Target="http://www.cpubenchmark.net/cpu_list.php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pubenchmark.net/cpu_list.php" TargetMode="External"/><Relationship Id="rId14" Type="http://schemas.openxmlformats.org/officeDocument/2006/relationships/hyperlink" Target="http://www.eu-energystar.or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37CC6-B070-46F1-8AE7-52B0A6183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3624</Words>
  <Characters>25080</Characters>
  <Application>Microsoft Office Word</Application>
  <DocSecurity>0</DocSecurity>
  <Lines>760</Lines>
  <Paragraphs>337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28367</CharactersWithSpaces>
  <SharedDoc>false</SharedDoc>
  <HLinks>
    <vt:vector size="198" baseType="variant">
      <vt:variant>
        <vt:i4>7471131</vt:i4>
      </vt:variant>
      <vt:variant>
        <vt:i4>95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4194388</vt:i4>
      </vt:variant>
      <vt:variant>
        <vt:i4>93</vt:i4>
      </vt:variant>
      <vt:variant>
        <vt:i4>0</vt:i4>
      </vt:variant>
      <vt:variant>
        <vt:i4>5</vt:i4>
      </vt:variant>
      <vt:variant>
        <vt:lpwstr>http://www.cpubenchmark.net/</vt:lpwstr>
      </vt:variant>
      <vt:variant>
        <vt:lpwstr/>
      </vt:variant>
      <vt:variant>
        <vt:i4>3145762</vt:i4>
      </vt:variant>
      <vt:variant>
        <vt:i4>90</vt:i4>
      </vt:variant>
      <vt:variant>
        <vt:i4>0</vt:i4>
      </vt:variant>
      <vt:variant>
        <vt:i4>5</vt:i4>
      </vt:variant>
      <vt:variant>
        <vt:lpwstr>http://www.energystar.gov/</vt:lpwstr>
      </vt:variant>
      <vt:variant>
        <vt:lpwstr/>
      </vt:variant>
      <vt:variant>
        <vt:i4>524300</vt:i4>
      </vt:variant>
      <vt:variant>
        <vt:i4>87</vt:i4>
      </vt:variant>
      <vt:variant>
        <vt:i4>0</vt:i4>
      </vt:variant>
      <vt:variant>
        <vt:i4>5</vt:i4>
      </vt:variant>
      <vt:variant>
        <vt:lpwstr>http://www.eu-energystar.org/</vt:lpwstr>
      </vt:variant>
      <vt:variant>
        <vt:lpwstr/>
      </vt:variant>
      <vt:variant>
        <vt:i4>7471131</vt:i4>
      </vt:variant>
      <vt:variant>
        <vt:i4>84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81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78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75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72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69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3735657</vt:i4>
      </vt:variant>
      <vt:variant>
        <vt:i4>66</vt:i4>
      </vt:variant>
      <vt:variant>
        <vt:i4>0</vt:i4>
      </vt:variant>
      <vt:variant>
        <vt:i4>5</vt:i4>
      </vt:variant>
      <vt:variant>
        <vt:lpwstr>http://pup.katowice.ibip.pl/public/</vt:lpwstr>
      </vt:variant>
      <vt:variant>
        <vt:lpwstr/>
      </vt:variant>
      <vt:variant>
        <vt:i4>3735657</vt:i4>
      </vt:variant>
      <vt:variant>
        <vt:i4>63</vt:i4>
      </vt:variant>
      <vt:variant>
        <vt:i4>0</vt:i4>
      </vt:variant>
      <vt:variant>
        <vt:i4>5</vt:i4>
      </vt:variant>
      <vt:variant>
        <vt:lpwstr>http://pup.katowice.ibip.pl/public/</vt:lpwstr>
      </vt:variant>
      <vt:variant>
        <vt:lpwstr/>
      </vt:variant>
      <vt:variant>
        <vt:i4>3735657</vt:i4>
      </vt:variant>
      <vt:variant>
        <vt:i4>60</vt:i4>
      </vt:variant>
      <vt:variant>
        <vt:i4>0</vt:i4>
      </vt:variant>
      <vt:variant>
        <vt:i4>5</vt:i4>
      </vt:variant>
      <vt:variant>
        <vt:lpwstr>http://pup.katowice.ibip.pl/public/</vt:lpwstr>
      </vt:variant>
      <vt:variant>
        <vt:lpwstr/>
      </vt:variant>
      <vt:variant>
        <vt:i4>7471131</vt:i4>
      </vt:variant>
      <vt:variant>
        <vt:i4>56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4194388</vt:i4>
      </vt:variant>
      <vt:variant>
        <vt:i4>54</vt:i4>
      </vt:variant>
      <vt:variant>
        <vt:i4>0</vt:i4>
      </vt:variant>
      <vt:variant>
        <vt:i4>5</vt:i4>
      </vt:variant>
      <vt:variant>
        <vt:lpwstr>http://www.cpubenchmark.net/</vt:lpwstr>
      </vt:variant>
      <vt:variant>
        <vt:lpwstr/>
      </vt:variant>
      <vt:variant>
        <vt:i4>3145762</vt:i4>
      </vt:variant>
      <vt:variant>
        <vt:i4>51</vt:i4>
      </vt:variant>
      <vt:variant>
        <vt:i4>0</vt:i4>
      </vt:variant>
      <vt:variant>
        <vt:i4>5</vt:i4>
      </vt:variant>
      <vt:variant>
        <vt:lpwstr>http://www.energystar.gov/</vt:lpwstr>
      </vt:variant>
      <vt:variant>
        <vt:lpwstr/>
      </vt:variant>
      <vt:variant>
        <vt:i4>524300</vt:i4>
      </vt:variant>
      <vt:variant>
        <vt:i4>48</vt:i4>
      </vt:variant>
      <vt:variant>
        <vt:i4>0</vt:i4>
      </vt:variant>
      <vt:variant>
        <vt:i4>5</vt:i4>
      </vt:variant>
      <vt:variant>
        <vt:lpwstr>http://www.eu-energystar.org/</vt:lpwstr>
      </vt:variant>
      <vt:variant>
        <vt:lpwstr/>
      </vt:variant>
      <vt:variant>
        <vt:i4>7471131</vt:i4>
      </vt:variant>
      <vt:variant>
        <vt:i4>45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42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39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35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4194388</vt:i4>
      </vt:variant>
      <vt:variant>
        <vt:i4>33</vt:i4>
      </vt:variant>
      <vt:variant>
        <vt:i4>0</vt:i4>
      </vt:variant>
      <vt:variant>
        <vt:i4>5</vt:i4>
      </vt:variant>
      <vt:variant>
        <vt:lpwstr>http://www.cpubenchmark.net/</vt:lpwstr>
      </vt:variant>
      <vt:variant>
        <vt:lpwstr/>
      </vt:variant>
      <vt:variant>
        <vt:i4>3145762</vt:i4>
      </vt:variant>
      <vt:variant>
        <vt:i4>30</vt:i4>
      </vt:variant>
      <vt:variant>
        <vt:i4>0</vt:i4>
      </vt:variant>
      <vt:variant>
        <vt:i4>5</vt:i4>
      </vt:variant>
      <vt:variant>
        <vt:lpwstr>http://www.energystar.gov/</vt:lpwstr>
      </vt:variant>
      <vt:variant>
        <vt:lpwstr/>
      </vt:variant>
      <vt:variant>
        <vt:i4>524300</vt:i4>
      </vt:variant>
      <vt:variant>
        <vt:i4>27</vt:i4>
      </vt:variant>
      <vt:variant>
        <vt:i4>0</vt:i4>
      </vt:variant>
      <vt:variant>
        <vt:i4>5</vt:i4>
      </vt:variant>
      <vt:variant>
        <vt:lpwstr>http://www.eu-energystar.org/</vt:lpwstr>
      </vt:variant>
      <vt:variant>
        <vt:lpwstr/>
      </vt:variant>
      <vt:variant>
        <vt:i4>7471131</vt:i4>
      </vt:variant>
      <vt:variant>
        <vt:i4>24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21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18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15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12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7471131</vt:i4>
      </vt:variant>
      <vt:variant>
        <vt:i4>9</vt:i4>
      </vt:variant>
      <vt:variant>
        <vt:i4>0</vt:i4>
      </vt:variant>
      <vt:variant>
        <vt:i4>5</vt:i4>
      </vt:variant>
      <vt:variant>
        <vt:lpwstr>http://www.cpubenchmark.net/cpu_list.php</vt:lpwstr>
      </vt:variant>
      <vt:variant>
        <vt:lpwstr/>
      </vt:variant>
      <vt:variant>
        <vt:i4>2752595</vt:i4>
      </vt:variant>
      <vt:variant>
        <vt:i4>6</vt:i4>
      </vt:variant>
      <vt:variant>
        <vt:i4>0</vt:i4>
      </vt:variant>
      <vt:variant>
        <vt:i4>5</vt:i4>
      </vt:variant>
      <vt:variant>
        <vt:lpwstr>mailto:sekretariat@pup.katowice.pl</vt:lpwstr>
      </vt:variant>
      <vt:variant>
        <vt:lpwstr/>
      </vt:variant>
      <vt:variant>
        <vt:i4>6422649</vt:i4>
      </vt:variant>
      <vt:variant>
        <vt:i4>3</vt:i4>
      </vt:variant>
      <vt:variant>
        <vt:i4>0</vt:i4>
      </vt:variant>
      <vt:variant>
        <vt:i4>5</vt:i4>
      </vt:variant>
      <vt:variant>
        <vt:lpwstr>http://www.pup.katowice.pl/</vt:lpwstr>
      </vt:variant>
      <vt:variant>
        <vt:lpwstr/>
      </vt:variant>
      <vt:variant>
        <vt:i4>2752595</vt:i4>
      </vt:variant>
      <vt:variant>
        <vt:i4>0</vt:i4>
      </vt:variant>
      <vt:variant>
        <vt:i4>0</vt:i4>
      </vt:variant>
      <vt:variant>
        <vt:i4>5</vt:i4>
      </vt:variant>
      <vt:variant>
        <vt:lpwstr>mailto:sekretariat@pup.katowice.pl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Agnieszka</dc:creator>
  <cp:keywords/>
  <cp:lastModifiedBy>Agnieszka Kowaluk</cp:lastModifiedBy>
  <cp:revision>4</cp:revision>
  <cp:lastPrinted>2015-09-22T11:06:00Z</cp:lastPrinted>
  <dcterms:created xsi:type="dcterms:W3CDTF">2015-09-29T07:11:00Z</dcterms:created>
  <dcterms:modified xsi:type="dcterms:W3CDTF">2015-09-29T08:28:00Z</dcterms:modified>
</cp:coreProperties>
</file>